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B51A" w14:textId="77777777" w:rsidR="005F19CB" w:rsidRPr="00996810" w:rsidRDefault="002541C1" w:rsidP="005F19CB">
      <w:pPr>
        <w:widowControl w:val="0"/>
        <w:spacing w:after="0" w:line="240" w:lineRule="auto"/>
        <w:ind w:left="5387"/>
        <w:rPr>
          <w:rFonts w:ascii="Times New Roman" w:eastAsia="Times New Roman" w:hAnsi="Times New Roman"/>
          <w:snapToGrid w:val="0"/>
          <w:sz w:val="24"/>
          <w:szCs w:val="24"/>
          <w:lang w:eastAsia="ru-RU"/>
        </w:rPr>
      </w:pPr>
      <w:r w:rsidRPr="00996810">
        <w:rPr>
          <w:rFonts w:ascii="Times New Roman" w:eastAsia="Times New Roman" w:hAnsi="Times New Roman"/>
          <w:snapToGrid w:val="0"/>
          <w:sz w:val="24"/>
          <w:szCs w:val="24"/>
          <w:lang w:val="kk" w:eastAsia="ru-RU"/>
        </w:rPr>
        <w:t xml:space="preserve">«Қазақстан Республикасы  </w:t>
      </w:r>
    </w:p>
    <w:p w14:paraId="439569F5" w14:textId="77777777" w:rsidR="005F19CB" w:rsidRPr="00996810" w:rsidRDefault="002541C1" w:rsidP="005F19CB">
      <w:pPr>
        <w:autoSpaceDE w:val="0"/>
        <w:autoSpaceDN w:val="0"/>
        <w:spacing w:after="0" w:line="240" w:lineRule="auto"/>
        <w:ind w:left="5387"/>
        <w:rPr>
          <w:rFonts w:ascii="Times New Roman" w:eastAsia="Times New Roman" w:hAnsi="Times New Roman"/>
          <w:sz w:val="24"/>
          <w:szCs w:val="24"/>
          <w:lang w:eastAsia="ru-RU"/>
        </w:rPr>
      </w:pPr>
      <w:r w:rsidRPr="00996810">
        <w:rPr>
          <w:rFonts w:ascii="Times New Roman" w:eastAsia="Times New Roman" w:hAnsi="Times New Roman"/>
          <w:sz w:val="24"/>
          <w:szCs w:val="24"/>
          <w:lang w:val="kk" w:eastAsia="ru-RU"/>
        </w:rPr>
        <w:t xml:space="preserve">Денсаулық сақтау министрлігі   </w:t>
      </w:r>
    </w:p>
    <w:p w14:paraId="560EA8BB" w14:textId="77777777" w:rsidR="005F19CB" w:rsidRPr="00996810" w:rsidRDefault="002541C1" w:rsidP="005F19CB">
      <w:pPr>
        <w:autoSpaceDE w:val="0"/>
        <w:autoSpaceDN w:val="0"/>
        <w:spacing w:after="0" w:line="240" w:lineRule="auto"/>
        <w:ind w:left="5387"/>
        <w:rPr>
          <w:rFonts w:ascii="Times New Roman" w:eastAsia="Times New Roman" w:hAnsi="Times New Roman"/>
          <w:sz w:val="24"/>
          <w:szCs w:val="24"/>
          <w:lang w:eastAsia="ru-RU"/>
        </w:rPr>
      </w:pPr>
      <w:r w:rsidRPr="00996810">
        <w:rPr>
          <w:rFonts w:ascii="Times New Roman" w:eastAsia="Times New Roman" w:hAnsi="Times New Roman"/>
          <w:sz w:val="24"/>
          <w:szCs w:val="24"/>
          <w:lang w:val="kk" w:eastAsia="ru-RU"/>
        </w:rPr>
        <w:t xml:space="preserve">Медициналық және </w:t>
      </w:r>
    </w:p>
    <w:p w14:paraId="0B6BFEC7" w14:textId="77777777" w:rsidR="005F19CB" w:rsidRPr="00996810" w:rsidRDefault="002541C1" w:rsidP="005F19CB">
      <w:pPr>
        <w:keepNext/>
        <w:autoSpaceDE w:val="0"/>
        <w:autoSpaceDN w:val="0"/>
        <w:spacing w:after="0" w:line="240" w:lineRule="auto"/>
        <w:ind w:left="5387"/>
        <w:outlineLvl w:val="2"/>
        <w:rPr>
          <w:rFonts w:ascii="Times New Roman" w:eastAsia="Times New Roman" w:hAnsi="Times New Roman"/>
          <w:bCs/>
          <w:sz w:val="24"/>
          <w:szCs w:val="24"/>
          <w:lang w:val="uk-UA" w:eastAsia="ru-RU"/>
        </w:rPr>
      </w:pPr>
      <w:r w:rsidRPr="00996810">
        <w:rPr>
          <w:rFonts w:ascii="Times New Roman" w:eastAsia="Times New Roman" w:hAnsi="Times New Roman"/>
          <w:bCs/>
          <w:sz w:val="24"/>
          <w:szCs w:val="24"/>
          <w:lang w:val="kk" w:eastAsia="ru-RU"/>
        </w:rPr>
        <w:t xml:space="preserve">фармацевтикалық бақылау </w:t>
      </w:r>
    </w:p>
    <w:p w14:paraId="4919E0E6" w14:textId="77777777" w:rsidR="005F19CB" w:rsidRPr="00996810" w:rsidRDefault="002541C1" w:rsidP="005F19CB">
      <w:pPr>
        <w:keepNext/>
        <w:autoSpaceDE w:val="0"/>
        <w:autoSpaceDN w:val="0"/>
        <w:spacing w:after="0" w:line="240" w:lineRule="auto"/>
        <w:ind w:left="5387"/>
        <w:outlineLvl w:val="3"/>
        <w:rPr>
          <w:rFonts w:ascii="Times New Roman" w:eastAsia="Times New Roman" w:hAnsi="Times New Roman"/>
          <w:bCs/>
          <w:sz w:val="24"/>
          <w:szCs w:val="24"/>
          <w:lang w:eastAsia="ru-RU"/>
        </w:rPr>
      </w:pPr>
      <w:r w:rsidRPr="00996810">
        <w:rPr>
          <w:rFonts w:ascii="Times New Roman" w:eastAsia="Times New Roman" w:hAnsi="Times New Roman"/>
          <w:bCs/>
          <w:sz w:val="24"/>
          <w:szCs w:val="24"/>
          <w:lang w:val="kk" w:eastAsia="ru-RU"/>
        </w:rPr>
        <w:t xml:space="preserve">комитеті» РММ төрағасының </w:t>
      </w:r>
    </w:p>
    <w:p w14:paraId="297CE10F" w14:textId="77777777" w:rsidR="004156F7" w:rsidRPr="004156F7" w:rsidRDefault="004156F7" w:rsidP="004156F7">
      <w:pPr>
        <w:spacing w:after="0" w:line="240" w:lineRule="auto"/>
        <w:ind w:left="5387"/>
        <w:rPr>
          <w:rFonts w:ascii="Times New Roman" w:eastAsia="Times New Roman" w:hAnsi="Times New Roman"/>
          <w:sz w:val="24"/>
          <w:szCs w:val="24"/>
          <w:lang w:val="kk" w:eastAsia="ru-RU"/>
        </w:rPr>
      </w:pPr>
      <w:r w:rsidRPr="004156F7">
        <w:rPr>
          <w:rFonts w:ascii="Times New Roman" w:eastAsia="Times New Roman" w:hAnsi="Times New Roman"/>
          <w:sz w:val="24"/>
          <w:szCs w:val="24"/>
          <w:lang w:val="kk" w:eastAsia="ru-RU"/>
        </w:rPr>
        <w:t xml:space="preserve">2025   ж. «08» 05  </w:t>
      </w:r>
    </w:p>
    <w:p w14:paraId="2111A0B8" w14:textId="36D2D7CA" w:rsidR="00354AE1" w:rsidRPr="00996810" w:rsidRDefault="004156F7" w:rsidP="004156F7">
      <w:pPr>
        <w:spacing w:after="0" w:line="240" w:lineRule="auto"/>
        <w:ind w:left="5387"/>
        <w:rPr>
          <w:rFonts w:ascii="Times New Roman" w:eastAsia="Times New Roman" w:hAnsi="Times New Roman" w:cs="Times New Roman"/>
          <w:snapToGrid w:val="0"/>
          <w:sz w:val="24"/>
          <w:szCs w:val="28"/>
          <w:lang w:eastAsia="ru-RU"/>
        </w:rPr>
      </w:pPr>
      <w:r w:rsidRPr="004156F7">
        <w:rPr>
          <w:rFonts w:ascii="Times New Roman" w:eastAsia="Times New Roman" w:hAnsi="Times New Roman"/>
          <w:sz w:val="24"/>
          <w:szCs w:val="24"/>
          <w:lang w:val="kk" w:eastAsia="ru-RU"/>
        </w:rPr>
        <w:t>№N085734</w:t>
      </w:r>
      <w:r w:rsidR="002541C1" w:rsidRPr="00996810">
        <w:rPr>
          <w:rFonts w:ascii="Times New Roman" w:eastAsia="Times New Roman" w:hAnsi="Times New Roman"/>
          <w:snapToGrid w:val="0"/>
          <w:sz w:val="24"/>
          <w:szCs w:val="24"/>
          <w:lang w:val="kk" w:eastAsia="ru-RU"/>
        </w:rPr>
        <w:t xml:space="preserve"> бұйрығымен  </w:t>
      </w:r>
      <w:r w:rsidR="002541C1" w:rsidRPr="00996810">
        <w:rPr>
          <w:rFonts w:ascii="Times New Roman" w:eastAsia="Times New Roman" w:hAnsi="Times New Roman"/>
          <w:b/>
          <w:snapToGrid w:val="0"/>
          <w:sz w:val="24"/>
          <w:szCs w:val="24"/>
          <w:lang w:val="kk" w:eastAsia="ru-RU"/>
        </w:rPr>
        <w:t>БЕКІТІЛГЕН</w:t>
      </w:r>
    </w:p>
    <w:p w14:paraId="3C4F77A1" w14:textId="77777777" w:rsidR="00354AE1" w:rsidRPr="00996810" w:rsidRDefault="00354AE1" w:rsidP="00354AE1">
      <w:pPr>
        <w:spacing w:after="0" w:line="240" w:lineRule="auto"/>
        <w:rPr>
          <w:rFonts w:ascii="Times New Roman" w:eastAsia="Times New Roman" w:hAnsi="Times New Roman" w:cs="Times New Roman"/>
          <w:snapToGrid w:val="0"/>
          <w:sz w:val="24"/>
          <w:szCs w:val="28"/>
          <w:lang w:eastAsia="ru-RU"/>
        </w:rPr>
      </w:pPr>
    </w:p>
    <w:p w14:paraId="4FAD3716" w14:textId="77777777" w:rsidR="006B4300" w:rsidRPr="00996810" w:rsidRDefault="002541C1" w:rsidP="00354AE1">
      <w:pPr>
        <w:spacing w:after="0" w:line="240" w:lineRule="auto"/>
        <w:jc w:val="center"/>
        <w:rPr>
          <w:rFonts w:ascii="Times New Roman" w:eastAsia="Times New Roman" w:hAnsi="Times New Roman" w:cs="Times New Roman"/>
          <w:b/>
          <w:bCs/>
          <w:sz w:val="24"/>
          <w:szCs w:val="24"/>
          <w:lang w:eastAsia="ru-RU"/>
        </w:rPr>
      </w:pPr>
      <w:r w:rsidRPr="00996810">
        <w:rPr>
          <w:rFonts w:ascii="Times New Roman" w:eastAsia="Times New Roman" w:hAnsi="Times New Roman" w:cs="Times New Roman"/>
          <w:b/>
          <w:bCs/>
          <w:sz w:val="24"/>
          <w:szCs w:val="24"/>
          <w:lang w:val="kk" w:eastAsia="ru-RU"/>
        </w:rPr>
        <w:t xml:space="preserve">ДӘРІЛІК ПРЕПАРАТТЫҢ   ЖАЛПЫ СИПАТТАМАСЫ    </w:t>
      </w:r>
    </w:p>
    <w:p w14:paraId="43273630" w14:textId="77777777" w:rsidR="00A75F5E" w:rsidRPr="00996810" w:rsidRDefault="00A75F5E" w:rsidP="00354AE1">
      <w:pPr>
        <w:spacing w:after="0" w:line="240" w:lineRule="auto"/>
        <w:jc w:val="center"/>
        <w:rPr>
          <w:rFonts w:ascii="Times New Roman" w:eastAsia="Times New Roman" w:hAnsi="Times New Roman" w:cs="Times New Roman"/>
          <w:b/>
          <w:bCs/>
          <w:sz w:val="24"/>
          <w:szCs w:val="24"/>
          <w:lang w:eastAsia="ru-RU"/>
        </w:rPr>
      </w:pPr>
    </w:p>
    <w:p w14:paraId="52569831" w14:textId="77777777" w:rsidR="009C166C" w:rsidRPr="00996810" w:rsidRDefault="002541C1" w:rsidP="00A75F5E">
      <w:pPr>
        <w:pStyle w:val="af7"/>
        <w:numPr>
          <w:ilvl w:val="0"/>
          <w:numId w:val="15"/>
        </w:numPr>
        <w:tabs>
          <w:tab w:val="left" w:pos="284"/>
        </w:tabs>
        <w:spacing w:after="0" w:line="240" w:lineRule="auto"/>
        <w:ind w:left="0" w:firstLine="0"/>
        <w:jc w:val="both"/>
        <w:rPr>
          <w:rFonts w:ascii="Times New Roman" w:hAnsi="Times New Roman" w:cs="Times New Roman"/>
          <w:b/>
          <w:sz w:val="24"/>
          <w:szCs w:val="24"/>
        </w:rPr>
      </w:pPr>
      <w:r w:rsidRPr="00996810">
        <w:rPr>
          <w:rFonts w:ascii="Times New Roman" w:hAnsi="Times New Roman" w:cs="Times New Roman"/>
          <w:b/>
          <w:sz w:val="24"/>
          <w:szCs w:val="24"/>
          <w:lang w:val="kk"/>
        </w:rPr>
        <w:t>ДӘРІЛІК ПРЕПАРАТ АТАУЫ</w:t>
      </w:r>
    </w:p>
    <w:p w14:paraId="5F1977F3" w14:textId="77777777" w:rsidR="00CB4506" w:rsidRPr="00996810" w:rsidRDefault="002541C1" w:rsidP="00CB4506">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Катенокс, 2000 анти-Ха ХБ/0.2 мл, 4000 анти-Ха ХБ/0.4 мл, инъекцияға арналған ерітінді </w:t>
      </w:r>
    </w:p>
    <w:p w14:paraId="6F1B918C" w14:textId="77777777" w:rsidR="007471D2" w:rsidRPr="00996810" w:rsidRDefault="007471D2" w:rsidP="00A75F5E">
      <w:pPr>
        <w:spacing w:after="0" w:line="240" w:lineRule="auto"/>
        <w:jc w:val="both"/>
        <w:rPr>
          <w:rFonts w:ascii="Times New Roman" w:hAnsi="Times New Roman" w:cs="Times New Roman"/>
          <w:sz w:val="24"/>
          <w:szCs w:val="24"/>
        </w:rPr>
      </w:pPr>
    </w:p>
    <w:p w14:paraId="0FAB93C2"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2. САПАЛЫҚ ЖӘНЕ САНДЫҚ ҚҰРАМЫ</w:t>
      </w:r>
    </w:p>
    <w:p w14:paraId="44504288" w14:textId="77777777" w:rsidR="007471D2" w:rsidRPr="00996810" w:rsidRDefault="002541C1" w:rsidP="00A75F5E">
      <w:pPr>
        <w:widowControl w:val="0"/>
        <w:autoSpaceDE w:val="0"/>
        <w:autoSpaceDN w:val="0"/>
        <w:spacing w:after="0" w:line="240" w:lineRule="auto"/>
        <w:ind w:left="2977" w:hanging="2977"/>
        <w:jc w:val="both"/>
        <w:rPr>
          <w:rFonts w:ascii="Times New Roman" w:eastAsia="Times New Roman" w:hAnsi="Times New Roman" w:cs="Times New Roman"/>
          <w:b/>
          <w:bCs/>
          <w:sz w:val="24"/>
          <w:szCs w:val="24"/>
          <w:lang w:eastAsia="ru-RU"/>
        </w:rPr>
      </w:pPr>
      <w:r w:rsidRPr="00996810">
        <w:rPr>
          <w:rFonts w:ascii="Times New Roman" w:eastAsia="TimesNewRomanPSMT" w:hAnsi="Times New Roman" w:cs="Times New Roman"/>
          <w:b/>
          <w:bCs/>
          <w:sz w:val="24"/>
          <w:szCs w:val="24"/>
          <w:lang w:val="kk" w:eastAsia="ru-RU"/>
        </w:rPr>
        <w:t xml:space="preserve">2.1 Жалпы сипаттамасы </w:t>
      </w:r>
    </w:p>
    <w:p w14:paraId="56153911" w14:textId="77777777" w:rsidR="007471D2" w:rsidRPr="00996810" w:rsidRDefault="002541C1" w:rsidP="00A75F5E">
      <w:pPr>
        <w:widowControl w:val="0"/>
        <w:autoSpaceDE w:val="0"/>
        <w:autoSpaceDN w:val="0"/>
        <w:spacing w:after="0" w:line="240" w:lineRule="auto"/>
        <w:ind w:left="2977" w:hanging="2977"/>
        <w:jc w:val="both"/>
        <w:rPr>
          <w:rFonts w:ascii="Times New Roman" w:eastAsia="Times New Roman" w:hAnsi="Times New Roman" w:cs="Times New Roman"/>
          <w:bCs/>
          <w:sz w:val="24"/>
          <w:szCs w:val="24"/>
          <w:lang w:eastAsia="ru-RU"/>
        </w:rPr>
      </w:pPr>
      <w:r w:rsidRPr="00996810">
        <w:rPr>
          <w:rFonts w:ascii="Times New Roman" w:eastAsia="Times New Roman" w:hAnsi="Times New Roman" w:cs="Times New Roman"/>
          <w:bCs/>
          <w:sz w:val="24"/>
          <w:szCs w:val="24"/>
          <w:lang w:val="kk" w:eastAsia="ru-RU"/>
        </w:rPr>
        <w:t>Натрий эноксапарині</w:t>
      </w:r>
    </w:p>
    <w:p w14:paraId="073B1CF7" w14:textId="77777777" w:rsidR="007471D2" w:rsidRPr="00996810" w:rsidRDefault="002541C1" w:rsidP="00A75F5E">
      <w:pPr>
        <w:widowControl w:val="0"/>
        <w:autoSpaceDE w:val="0"/>
        <w:autoSpaceDN w:val="0"/>
        <w:spacing w:after="0" w:line="240" w:lineRule="auto"/>
        <w:ind w:left="2977" w:hanging="2977"/>
        <w:jc w:val="both"/>
        <w:rPr>
          <w:rFonts w:ascii="Times New Roman" w:eastAsia="TimesNewRomanPSMT" w:hAnsi="Times New Roman" w:cs="Times New Roman"/>
          <w:b/>
          <w:bCs/>
          <w:sz w:val="24"/>
          <w:szCs w:val="24"/>
          <w:lang w:eastAsia="ru-RU"/>
        </w:rPr>
      </w:pPr>
      <w:r w:rsidRPr="00996810">
        <w:rPr>
          <w:rFonts w:ascii="Times New Roman" w:eastAsia="TimesNewRomanPSMT" w:hAnsi="Times New Roman" w:cs="Times New Roman"/>
          <w:b/>
          <w:bCs/>
          <w:sz w:val="24"/>
          <w:szCs w:val="24"/>
          <w:lang w:val="kk" w:eastAsia="ru-RU"/>
        </w:rPr>
        <w:t>2.2 Сапалық және сандық құрамы</w:t>
      </w:r>
    </w:p>
    <w:p w14:paraId="01D2F6C4" w14:textId="77777777" w:rsidR="00705BCF" w:rsidRPr="00996810" w:rsidRDefault="002541C1" w:rsidP="00705BC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96810">
        <w:rPr>
          <w:rFonts w:ascii="Times New Roman" w:eastAsia="Times New Roman" w:hAnsi="Times New Roman" w:cs="Times New Roman"/>
          <w:bCs/>
          <w:sz w:val="24"/>
          <w:szCs w:val="24"/>
          <w:lang w:val="kk" w:eastAsia="ru-RU"/>
        </w:rPr>
        <w:t xml:space="preserve">1 шприцтің ішінде </w:t>
      </w:r>
    </w:p>
    <w:p w14:paraId="1551782D" w14:textId="77777777" w:rsidR="00705BCF" w:rsidRPr="00996810" w:rsidRDefault="002541C1" w:rsidP="00535B0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96810">
        <w:rPr>
          <w:rFonts w:ascii="Times New Roman" w:eastAsia="Times New Roman" w:hAnsi="Times New Roman" w:cs="Times New Roman"/>
          <w:bCs/>
          <w:i/>
          <w:sz w:val="24"/>
          <w:szCs w:val="24"/>
          <w:lang w:val="kk" w:eastAsia="ru-RU"/>
        </w:rPr>
        <w:t>белсенді зат</w:t>
      </w:r>
      <w:r w:rsidRPr="00996810">
        <w:rPr>
          <w:rFonts w:ascii="Times New Roman" w:eastAsia="Times New Roman" w:hAnsi="Times New Roman" w:cs="Times New Roman"/>
          <w:bCs/>
          <w:sz w:val="24"/>
          <w:szCs w:val="24"/>
          <w:lang w:val="kk" w:eastAsia="ru-RU"/>
        </w:rPr>
        <w:t xml:space="preserve"> - натрий эноксапарині 20 мг (2000 анти-Ха ХБ баламалы) немесе 40 мг (4000 анти-Ха ХБ баламалы),</w:t>
      </w:r>
    </w:p>
    <w:p w14:paraId="717C07F3" w14:textId="77777777" w:rsidR="00705BCF" w:rsidRPr="00996810" w:rsidRDefault="002541C1" w:rsidP="00705BC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96810">
        <w:rPr>
          <w:rFonts w:ascii="Times New Roman" w:eastAsia="Times New Roman" w:hAnsi="Times New Roman" w:cs="Times New Roman"/>
          <w:bCs/>
          <w:i/>
          <w:sz w:val="24"/>
          <w:szCs w:val="24"/>
          <w:lang w:val="kk" w:eastAsia="ru-RU"/>
        </w:rPr>
        <w:t>қосымша заттар:</w:t>
      </w:r>
      <w:r w:rsidRPr="00996810">
        <w:rPr>
          <w:rFonts w:ascii="Times New Roman" w:eastAsia="Times New Roman" w:hAnsi="Times New Roman" w:cs="Times New Roman"/>
          <w:bCs/>
          <w:sz w:val="24"/>
          <w:szCs w:val="24"/>
          <w:lang w:val="kk" w:eastAsia="ru-RU"/>
        </w:rPr>
        <w:t xml:space="preserve"> натрий гидроксиді (рН түзету үшін).</w:t>
      </w:r>
    </w:p>
    <w:p w14:paraId="3E49EF90" w14:textId="77777777" w:rsidR="00824CD9" w:rsidRPr="00996810" w:rsidRDefault="002541C1" w:rsidP="00824CD9">
      <w:pPr>
        <w:autoSpaceDE w:val="0"/>
        <w:autoSpaceDN w:val="0"/>
        <w:adjustRightInd w:val="0"/>
        <w:spacing w:after="0" w:line="240" w:lineRule="auto"/>
        <w:rPr>
          <w:rFonts w:ascii="Times New Roman" w:eastAsia="Times New Roman" w:hAnsi="Times New Roman"/>
          <w:bCs/>
          <w:snapToGrid w:val="0"/>
          <w:sz w:val="24"/>
          <w:szCs w:val="28"/>
          <w:lang w:eastAsia="ru-RU"/>
        </w:rPr>
      </w:pPr>
      <w:r w:rsidRPr="00996810">
        <w:rPr>
          <w:rFonts w:ascii="Times New Roman" w:hAnsi="Times New Roman"/>
          <w:iCs/>
          <w:sz w:val="24"/>
          <w:szCs w:val="28"/>
          <w:lang w:val="kk" w:eastAsia="ru-RU"/>
        </w:rPr>
        <w:t xml:space="preserve">Қосымша заттардың толық тізімін 6.1-тармақтан қараңыз. </w:t>
      </w:r>
    </w:p>
    <w:p w14:paraId="35782B93" w14:textId="77777777" w:rsidR="007471D2" w:rsidRPr="00996810" w:rsidRDefault="007471D2" w:rsidP="00A75F5E">
      <w:pPr>
        <w:spacing w:after="0" w:line="240" w:lineRule="auto"/>
        <w:jc w:val="both"/>
        <w:rPr>
          <w:rFonts w:ascii="Times New Roman" w:hAnsi="Times New Roman" w:cs="Times New Roman"/>
          <w:sz w:val="24"/>
          <w:szCs w:val="24"/>
        </w:rPr>
      </w:pPr>
    </w:p>
    <w:p w14:paraId="5E2C6C16"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3. ДӘРІЛІК ТҮРІ</w:t>
      </w:r>
    </w:p>
    <w:p w14:paraId="693B5EFB" w14:textId="77777777" w:rsidR="007471D2" w:rsidRPr="00996810" w:rsidRDefault="002541C1" w:rsidP="00A75F5E">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Инъекцияға арналған ерітінді. </w:t>
      </w:r>
    </w:p>
    <w:p w14:paraId="1525E645" w14:textId="1FC849E5" w:rsidR="007471D2" w:rsidRDefault="00100FF8" w:rsidP="00A75F5E">
      <w:pPr>
        <w:spacing w:after="0" w:line="240" w:lineRule="auto"/>
        <w:jc w:val="both"/>
        <w:rPr>
          <w:rFonts w:ascii="Times New Roman" w:hAnsi="Times New Roman" w:cs="Times New Roman"/>
          <w:sz w:val="24"/>
          <w:szCs w:val="24"/>
          <w:lang w:val="kk"/>
        </w:rPr>
      </w:pPr>
      <w:r w:rsidRPr="00100FF8">
        <w:rPr>
          <w:rFonts w:ascii="Times New Roman" w:hAnsi="Times New Roman" w:cs="Times New Roman"/>
          <w:sz w:val="24"/>
          <w:szCs w:val="24"/>
          <w:lang w:val="kk"/>
        </w:rPr>
        <w:t>Мөлдір ерітінді, түссізден ашық сары түске дейін, көзге көрінетін бөлшектерсіз.</w:t>
      </w:r>
    </w:p>
    <w:p w14:paraId="61C78BFD" w14:textId="77777777" w:rsidR="00100FF8" w:rsidRPr="00996810" w:rsidRDefault="00100FF8" w:rsidP="00A75F5E">
      <w:pPr>
        <w:spacing w:after="0" w:line="240" w:lineRule="auto"/>
        <w:jc w:val="both"/>
        <w:rPr>
          <w:rFonts w:ascii="Times New Roman" w:hAnsi="Times New Roman" w:cs="Times New Roman"/>
          <w:sz w:val="24"/>
          <w:szCs w:val="24"/>
        </w:rPr>
      </w:pPr>
    </w:p>
    <w:p w14:paraId="69FFA50E"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4. КЛИНИКАЛЫҚ ДЕРЕКТЕРІ</w:t>
      </w:r>
    </w:p>
    <w:p w14:paraId="0F6BE893"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4.1. Қолданылуы</w:t>
      </w:r>
    </w:p>
    <w:p w14:paraId="39C604C1" w14:textId="77777777" w:rsidR="001D41BD" w:rsidRPr="00996810" w:rsidRDefault="002541C1" w:rsidP="001D41BD">
      <w:pPr>
        <w:tabs>
          <w:tab w:val="left" w:pos="567"/>
        </w:tabs>
        <w:spacing w:after="0" w:line="240" w:lineRule="auto"/>
        <w:contextualSpacing/>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 орташа немесе жоғары қаупі бар хирургиялық араласымдар кезінде, атап айтқанда онкологиялық операцияны қоса, ортопедиялық немесе жалпы хирургиялық операцияны бастан өткерген пациенттерде вена тромбоэмболиясы ауруларының профилактикасы үшін</w:t>
      </w:r>
    </w:p>
    <w:p w14:paraId="7CB1202C" w14:textId="77777777" w:rsidR="001D41BD" w:rsidRPr="00996810" w:rsidRDefault="002541C1"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 келесілерді қамтитын жедел аурулары бар терапиялық пациенттерде вена тромбоэмболиясы ауруларының профилактикасы үшін: </w:t>
      </w:r>
    </w:p>
    <w:p w14:paraId="322C43CD" w14:textId="77777777" w:rsidR="001D41BD" w:rsidRPr="00996810" w:rsidRDefault="002541C1" w:rsidP="00197DD4">
      <w:pPr>
        <w:numPr>
          <w:ilvl w:val="0"/>
          <w:numId w:val="19"/>
        </w:numPr>
        <w:autoSpaceDE w:val="0"/>
        <w:autoSpaceDN w:val="0"/>
        <w:adjustRightInd w:val="0"/>
        <w:spacing w:after="0" w:line="240" w:lineRule="auto"/>
        <w:ind w:left="0" w:hanging="283"/>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жүректің жедел жеткіліксіздігі </w:t>
      </w:r>
    </w:p>
    <w:p w14:paraId="6731E736" w14:textId="77777777" w:rsidR="001D41BD" w:rsidRPr="00996810" w:rsidRDefault="002541C1" w:rsidP="00197DD4">
      <w:pPr>
        <w:numPr>
          <w:ilvl w:val="0"/>
          <w:numId w:val="19"/>
        </w:numPr>
        <w:autoSpaceDE w:val="0"/>
        <w:autoSpaceDN w:val="0"/>
        <w:adjustRightInd w:val="0"/>
        <w:spacing w:after="0" w:line="240" w:lineRule="auto"/>
        <w:ind w:left="0" w:hanging="283"/>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тыныс алудың жедел жеткіліксіздігі</w:t>
      </w:r>
    </w:p>
    <w:p w14:paraId="007FF75C" w14:textId="77777777" w:rsidR="001D41BD" w:rsidRPr="00996810" w:rsidRDefault="002541C1" w:rsidP="00197DD4">
      <w:pPr>
        <w:numPr>
          <w:ilvl w:val="0"/>
          <w:numId w:val="19"/>
        </w:numPr>
        <w:autoSpaceDE w:val="0"/>
        <w:autoSpaceDN w:val="0"/>
        <w:adjustRightInd w:val="0"/>
        <w:spacing w:after="0" w:line="240" w:lineRule="auto"/>
        <w:ind w:left="0" w:hanging="283"/>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ауыр инфекциялық немесе ревматизмдік аурулар </w:t>
      </w:r>
    </w:p>
    <w:p w14:paraId="484137BF" w14:textId="77777777" w:rsidR="001D41BD" w:rsidRPr="00996810" w:rsidRDefault="002541C1" w:rsidP="00197DD4">
      <w:pPr>
        <w:numPr>
          <w:ilvl w:val="0"/>
          <w:numId w:val="19"/>
        </w:numPr>
        <w:autoSpaceDE w:val="0"/>
        <w:autoSpaceDN w:val="0"/>
        <w:adjustRightInd w:val="0"/>
        <w:spacing w:after="0" w:line="240" w:lineRule="auto"/>
        <w:ind w:left="0" w:hanging="283"/>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вена тромбоэмболиясы қаупі жоғары болғанда қозғалғыштықтың төмендеуі </w:t>
      </w:r>
    </w:p>
    <w:p w14:paraId="0904847D" w14:textId="77777777" w:rsidR="001D41BD" w:rsidRPr="00996810" w:rsidRDefault="002541C1"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 тромболитикалық дәрілермен немесе хирургиялық жолмен емдеуді қажет етуі мүмкін ӨАТЭ қоспағанда, өкпе артериясының тромбоэмболиясымен (ӨАТЭ) біріккен терең веналар тромбозын (ТВТ) емдеу үшін </w:t>
      </w:r>
    </w:p>
    <w:p w14:paraId="0D5B7625" w14:textId="77777777" w:rsidR="00C06EA3" w:rsidRPr="00996810" w:rsidRDefault="002541C1" w:rsidP="004B5DD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w:t>
      </w:r>
      <w:r w:rsidR="00020022" w:rsidRPr="00996810">
        <w:rPr>
          <w:rFonts w:ascii="Times New Roman" w:eastAsia="Times New Roman" w:hAnsi="Times New Roman" w:cs="Times New Roman"/>
          <w:color w:val="000000"/>
          <w:sz w:val="24"/>
          <w:szCs w:val="24"/>
          <w:lang w:val="kk" w:eastAsia="ru-RU"/>
        </w:rPr>
        <w:t xml:space="preserve"> терең веналар тромбозын (ТВТ) және өкпе артериясының тромбоэмболиясын (ӨАТЭ) ұзақ уақыт емдеу және белсенді обыры бар пациенттерде олардың рецидивтерінің профилактикасы</w:t>
      </w:r>
    </w:p>
    <w:p w14:paraId="08D02EE7" w14:textId="77777777" w:rsidR="001D41BD" w:rsidRPr="00996810" w:rsidRDefault="002541C1" w:rsidP="001D41BD">
      <w:pPr>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 гемодиализ кезіндегі жасанды қанайналым кезінде тромб түзілуінің профилактикасы үшін </w:t>
      </w:r>
    </w:p>
    <w:p w14:paraId="35A41601" w14:textId="77777777" w:rsidR="001D41BD" w:rsidRPr="00996810" w:rsidRDefault="002541C1" w:rsidP="001D41BD">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996810">
        <w:rPr>
          <w:rFonts w:ascii="Times New Roman" w:eastAsia="Times New Roman" w:hAnsi="Times New Roman" w:cs="Times New Roman"/>
          <w:i/>
          <w:color w:val="000000"/>
          <w:sz w:val="24"/>
          <w:szCs w:val="24"/>
          <w:lang w:val="kk" w:eastAsia="ru-RU"/>
        </w:rPr>
        <w:t>Жедел коронарлық синдром кезінде:</w:t>
      </w:r>
    </w:p>
    <w:p w14:paraId="72ED0624" w14:textId="77777777" w:rsidR="001D41BD" w:rsidRPr="00996810" w:rsidRDefault="002541C1" w:rsidP="001D41BD">
      <w:pPr>
        <w:spacing w:after="0" w:line="240" w:lineRule="auto"/>
        <w:jc w:val="both"/>
        <w:rPr>
          <w:rFonts w:ascii="Times New Roman" w:eastAsia="Times New Roman" w:hAnsi="Times New Roman" w:cs="Times New Roman"/>
          <w:sz w:val="24"/>
          <w:szCs w:val="24"/>
          <w:lang w:eastAsia="hu-HU"/>
        </w:rPr>
      </w:pPr>
      <w:r w:rsidRPr="00996810">
        <w:rPr>
          <w:rFonts w:ascii="Times New Roman" w:eastAsia="Times New Roman" w:hAnsi="Times New Roman" w:cs="Times New Roman"/>
          <w:sz w:val="24"/>
          <w:szCs w:val="24"/>
          <w:lang w:val="kk" w:eastAsia="hu-HU"/>
        </w:rPr>
        <w:t>- тұрақсыз стенокардияны және ST сегментінің көтерілуінсіз миокард инфарктісін ацетилсалицил қышқылымен біріктіріп емдеу үшін.</w:t>
      </w:r>
    </w:p>
    <w:p w14:paraId="0A1194DC" w14:textId="77777777" w:rsidR="001D41BD" w:rsidRPr="00996810" w:rsidRDefault="002541C1"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lastRenderedPageBreak/>
        <w:t xml:space="preserve">ST сегментінің көтерілуімен жедел миокард инфарктісін емдеуде, соның ішінде, қажетті старттық 30 мг дозасын енгізудің мүмкін болмауына байланысты, дәрі-дәрмекпен немесе кейіннен тері арқылы жүргізілетін коронарлық араласымның (ТКА) көмегімен емделуі тиіс пациенттерде қолданылмайды, өйткені Катенокс препаратының 2000 анти-Ха ХБ/0.2 мл (20 мг) және 4000 анти-Ха ХБ/0.4 мл (40 мг) дозалы шприцтерінде бөлгіш шкала /градуировка жоқ, </w:t>
      </w:r>
      <w:bookmarkStart w:id="0" w:name="_Hlk181346738"/>
      <w:r w:rsidRPr="00996810">
        <w:rPr>
          <w:rFonts w:ascii="Times New Roman" w:eastAsia="Times New Roman" w:hAnsi="Times New Roman" w:cs="Times New Roman"/>
          <w:color w:val="000000"/>
          <w:sz w:val="24"/>
          <w:szCs w:val="24"/>
          <w:lang w:val="kk" w:eastAsia="ru-RU"/>
        </w:rPr>
        <w:t>бастапқы дозаны енгізу қажет болмайтын егде жастағы пациенттерді қоспағанда</w:t>
      </w:r>
      <w:bookmarkEnd w:id="0"/>
      <w:r w:rsidRPr="00996810">
        <w:rPr>
          <w:rFonts w:ascii="Times New Roman" w:eastAsia="Times New Roman" w:hAnsi="Times New Roman" w:cs="Times New Roman"/>
          <w:color w:val="000000"/>
          <w:sz w:val="24"/>
          <w:szCs w:val="24"/>
          <w:lang w:val="kk" w:eastAsia="ru-RU"/>
        </w:rPr>
        <w:t>.</w:t>
      </w:r>
    </w:p>
    <w:p w14:paraId="5F88601C" w14:textId="77777777" w:rsidR="00D1624C" w:rsidRPr="00996810" w:rsidRDefault="00D1624C" w:rsidP="00D1624C">
      <w:pPr>
        <w:spacing w:after="0" w:line="240" w:lineRule="auto"/>
        <w:jc w:val="both"/>
        <w:rPr>
          <w:rFonts w:ascii="Times New Roman" w:hAnsi="Times New Roman" w:cs="Times New Roman"/>
          <w:color w:val="FF0000"/>
          <w:sz w:val="24"/>
          <w:szCs w:val="24"/>
        </w:rPr>
      </w:pPr>
    </w:p>
    <w:p w14:paraId="0DDC081D"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4.2. Дозалау режимі және қолдану тәсілі</w:t>
      </w:r>
    </w:p>
    <w:p w14:paraId="4D2FF044"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Дозалау режимі</w:t>
      </w:r>
    </w:p>
    <w:p w14:paraId="43212F3A" w14:textId="77777777" w:rsidR="005A10DC" w:rsidRPr="00996810" w:rsidRDefault="002541C1" w:rsidP="005A10DC">
      <w:pPr>
        <w:spacing w:after="0" w:line="240" w:lineRule="auto"/>
        <w:jc w:val="both"/>
        <w:rPr>
          <w:rFonts w:ascii="Times New Roman" w:hAnsi="Times New Roman" w:cs="Times New Roman"/>
          <w:bCs/>
          <w:i/>
          <w:sz w:val="24"/>
          <w:szCs w:val="24"/>
        </w:rPr>
      </w:pPr>
      <w:r w:rsidRPr="00996810">
        <w:rPr>
          <w:rFonts w:ascii="Times New Roman" w:hAnsi="Times New Roman" w:cs="Times New Roman"/>
          <w:bCs/>
          <w:i/>
          <w:sz w:val="24"/>
          <w:szCs w:val="24"/>
          <w:lang w:val="kk"/>
        </w:rPr>
        <w:t xml:space="preserve">Орташа немесе жоғары қаупі бар хирургиялық араласымдар кезіндегі вена тромбоэмболиясы ауруларының профилактикасы </w:t>
      </w:r>
    </w:p>
    <w:p w14:paraId="6B1DABB2" w14:textId="77777777" w:rsidR="00647612" w:rsidRPr="00996810" w:rsidRDefault="002541C1" w:rsidP="005A10DC">
      <w:pPr>
        <w:spacing w:after="0" w:line="240" w:lineRule="auto"/>
        <w:jc w:val="both"/>
        <w:rPr>
          <w:rFonts w:ascii="Times New Roman" w:hAnsi="Times New Roman" w:cs="Times New Roman"/>
          <w:iCs/>
          <w:sz w:val="24"/>
          <w:szCs w:val="24"/>
        </w:rPr>
      </w:pPr>
      <w:r w:rsidRPr="00996810">
        <w:rPr>
          <w:rFonts w:ascii="Times New Roman" w:hAnsi="Times New Roman" w:cs="Times New Roman"/>
          <w:iCs/>
          <w:sz w:val="24"/>
          <w:szCs w:val="24"/>
          <w:lang w:val="kk"/>
        </w:rPr>
        <w:t>Дербес тромбоэмболия қаупі пациенттер үшін қауіпті стратификациялаудың валидацияланған моделінің көмегімен бағалануы мүмкін.</w:t>
      </w:r>
    </w:p>
    <w:p w14:paraId="6C50AD85" w14:textId="77777777" w:rsidR="00647612"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 тромб түзілу қаупі орташа пациенттерге натрий эноксапаринінің ұсынылатын дозасы тәулігіне бір рет тері астына 2 000 ХБ (20 мг) құрайды. Орташа қаупі бар хирургияда 2 000 ХБ (20 мг) натрий эноксапаринімен емді операцияға дейін (хирургиялық араласымнан 2 сағат бұрын) бастаудың тиімділігі мен қауіпсіздігі дәлелденді. </w:t>
      </w:r>
    </w:p>
    <w:p w14:paraId="6E1DA9D8"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орташа қаупі бар пациенттерде натрий эноксапаринімен емдеуді сауығу статусына (қозғалыс функциясына) қарамастан кем дегенде 7-10 күн бойы жалғастыру керек. Профилактиканы пациенттің қозғалыс белсенділігі елеулі жақсарғанға дейін жалғастыру қажет.</w:t>
      </w:r>
    </w:p>
    <w:p w14:paraId="0309BE48"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тромб түзілу қаупі жоғары пациенттерге ұсынылатын доза тәулігіне 1 рет тері астына 4 000 ХБ (40 мг) құрайды, хирургиялық араласымнан 12 сағат бұрын бастаған дұрыс. Натрий эноксапаринімен операцияға дейін профилактикалық емдеуді операцияға дейінгі 12 сағаттан ертерек бастау қажет болған жағдайда (мысалы, кейінге қалдырылған ортопедиялық операцияны күткен, жоғары қаупі бар пациент), соңғы инъекция операцияға дейінгі 12 сағаттан кешіктірмей енгізілуі тиіс және инъекциялар операциядан кейін 12 сағат өткен соң қайта жаңғыртылады.</w:t>
      </w:r>
    </w:p>
    <w:p w14:paraId="27D5788B" w14:textId="77777777" w:rsidR="005A10DC" w:rsidRPr="00996810" w:rsidRDefault="002541C1" w:rsidP="00996810">
      <w:pPr>
        <w:numPr>
          <w:ilvl w:val="0"/>
          <w:numId w:val="20"/>
        </w:numPr>
        <w:spacing w:after="0" w:line="240" w:lineRule="auto"/>
        <w:ind w:left="0"/>
        <w:jc w:val="both"/>
        <w:rPr>
          <w:rFonts w:ascii="Times New Roman" w:hAnsi="Times New Roman" w:cs="Times New Roman"/>
          <w:sz w:val="24"/>
          <w:szCs w:val="24"/>
          <w:lang w:val="kk"/>
        </w:rPr>
      </w:pPr>
      <w:r w:rsidRPr="00996810">
        <w:rPr>
          <w:rFonts w:ascii="Times New Roman" w:hAnsi="Times New Roman" w:cs="Times New Roman"/>
          <w:sz w:val="24"/>
          <w:szCs w:val="24"/>
          <w:lang w:val="kk"/>
        </w:rPr>
        <w:t>Ауқымды ортопедиялық операцияны бастан өткерген пациенттер үшін, тромбоздардың 5 аптаға дейінгі ұзартылған профилактикасы ұсынылады.</w:t>
      </w:r>
    </w:p>
    <w:p w14:paraId="437E42AB" w14:textId="77777777" w:rsidR="005A10DC" w:rsidRPr="00996810" w:rsidRDefault="002541C1" w:rsidP="00996810">
      <w:pPr>
        <w:numPr>
          <w:ilvl w:val="0"/>
          <w:numId w:val="20"/>
        </w:numPr>
        <w:spacing w:after="0" w:line="240" w:lineRule="auto"/>
        <w:ind w:left="0"/>
        <w:jc w:val="both"/>
        <w:rPr>
          <w:rFonts w:ascii="Times New Roman" w:hAnsi="Times New Roman" w:cs="Times New Roman"/>
          <w:sz w:val="24"/>
          <w:szCs w:val="24"/>
          <w:lang w:val="kk"/>
        </w:rPr>
      </w:pPr>
      <w:r w:rsidRPr="00996810">
        <w:rPr>
          <w:rFonts w:ascii="Times New Roman" w:hAnsi="Times New Roman" w:cs="Times New Roman"/>
          <w:sz w:val="24"/>
          <w:szCs w:val="24"/>
          <w:lang w:val="kk"/>
        </w:rPr>
        <w:t>Қатерлі жаңа түзілімдерге байланысты құрсақ қуысы ағзаларына немесе жамбас ағзаларына операция жасатқан,  веналық тромбоэмболияның даму қаупі жоғары пациенттерде тромбоздардың 4 аптаға дейінгі ұзартылған профилактикасы ұсынылады.</w:t>
      </w:r>
    </w:p>
    <w:p w14:paraId="5DD06041"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i/>
          <w:sz w:val="24"/>
          <w:szCs w:val="24"/>
          <w:lang w:val="kk"/>
        </w:rPr>
        <w:t xml:space="preserve">Терапиялық пациенттердегі вена тромбоэмболиясы ауруларының профилактикасы </w:t>
      </w:r>
    </w:p>
    <w:p w14:paraId="1E09780E"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Натрий эноксапаринінің ұсынылатын дозасы 4 000 ХБ (40 мг) құрайды, тәулігіне 1 рет теріастылық инъекция түрінде енгізіледі. </w:t>
      </w:r>
    </w:p>
    <w:p w14:paraId="6C4F6DC7"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Натрий эноксапаринімен емдеу сауығу статусына (қозғалыс функциясына) қарамастан кем дегенде 6-14 күнге тағайындалады. Қазіргі сәтте 14 күннен астам уақыт бойы жүргізілетін терапияға қатысты пайдасы туралы деректер жоқ. </w:t>
      </w:r>
    </w:p>
    <w:p w14:paraId="3E334A14" w14:textId="77777777" w:rsidR="0055273F" w:rsidRPr="00996810" w:rsidRDefault="002541C1" w:rsidP="0055273F">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bCs/>
          <w:i/>
          <w:sz w:val="24"/>
          <w:szCs w:val="24"/>
          <w:lang w:val="kk"/>
        </w:rPr>
        <w:t xml:space="preserve">Тереңдегі веналар тромбозын (ТВТ) өкпе артериясының тромбоэмболиясымен (ӨАТЭ) бірге емдеу  </w:t>
      </w:r>
    </w:p>
    <w:p w14:paraId="50ADB290" w14:textId="77777777" w:rsidR="0055273F" w:rsidRPr="00996810" w:rsidRDefault="002541C1" w:rsidP="0055273F">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Натрий эноксапарині тәулігіне бір рет 150 ХБ/кг (1.5 мг/кг) дозада немесе тәулігіне екі рет 100 ХБ/кг (1 мг/кг) дозада тері астына енгізіледі.</w:t>
      </w:r>
    </w:p>
    <w:p w14:paraId="32A81B3A" w14:textId="77777777" w:rsidR="0055273F"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Режимді дәрігер тромбоэмболиялық асқынулар қаупіне және қан кету қаупіне баға беруді қоса, жекелей баға беру негізінде таңдауы тиіс. Веналық тромбоэмболияның қайталану қаупі төмен асқынуларсыз пациенттерге 150 ХБ/кг (1.5 мг/кг) дозаны тағайындау керек, ол тәулігіне бір рет енгізіледі. Барлық басқа пациенттерге (сондай-ақ семіздігі, симптоматикалық ӨАТЭ, қатерлі жаңа түзілімі, қайталанған веналық тромбоэмболиясы немесе проксимальді тромбозы (мықын венасының тромбозы) бар) 100 ХБ/кг (1 мг/кг) дозаны тағайындау керек, ол тәулігіне екі рет енгізіледі. Натрий </w:t>
      </w:r>
      <w:r w:rsidRPr="00996810">
        <w:rPr>
          <w:rFonts w:ascii="Times New Roman" w:hAnsi="Times New Roman" w:cs="Times New Roman"/>
          <w:sz w:val="24"/>
          <w:szCs w:val="24"/>
          <w:lang w:val="kk"/>
        </w:rPr>
        <w:lastRenderedPageBreak/>
        <w:t xml:space="preserve">эноксапаринімен емдеу орташа 10 күнге тағайындалады. Қажет болса пероральді антикоагулянттық емді бастау керек. </w:t>
      </w:r>
    </w:p>
    <w:p w14:paraId="76293C89" w14:textId="77777777" w:rsidR="00EF4764" w:rsidRPr="00996810" w:rsidRDefault="002541C1" w:rsidP="00EF4764">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Терең вена тромбозын (ТВТ) және өкпе артериясының тромбоэмболиясын (ӨАТЭ) ұзақ уақыт емдегенде және белсенді онкологиялық патологиясы бар пациенттерде олардың қайталануының профилактикасында дәрігерлер пациенттің жеке тромбоэмболиялық және қан кету қаупін мұқият бағалауы керек.</w:t>
      </w:r>
    </w:p>
    <w:p w14:paraId="27044404" w14:textId="77777777" w:rsidR="00EF4764" w:rsidRPr="00996810" w:rsidRDefault="002541C1" w:rsidP="00EF4764">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Ұсынылатын доза 100 ХБ/кг (1 мг/кг) құрайды, күніне екі рет 5 - 10 күн ішінде СК инъекциясы арқылы енгізіледі, содан кейін 6 айға дейін СК инъекциялары арқылы күніне бір рет 150 ХБ/кг (1,5 мг/кг). 6 ай емдегеннен кейін үздіксіз антикоагулянттық емнің пайдасын қайта қарау керек.</w:t>
      </w:r>
    </w:p>
    <w:p w14:paraId="69B204D3"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bCs/>
          <w:i/>
          <w:sz w:val="24"/>
          <w:szCs w:val="24"/>
          <w:lang w:val="kk"/>
        </w:rPr>
        <w:t xml:space="preserve">Гемодиализ кезіндегі тромб түзілуінің профилактикасы </w:t>
      </w:r>
    </w:p>
    <w:p w14:paraId="6D6FF568"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Натрий эноксапаринінің ұсынылатын дозасы 100 ХБ/кг (1 мг/кг) құрайды. Қан кетудің даму қаупі жоғары гемодиализдегі пациенттерде доза 50 ХБ/кг (0.5 мг/кг) (тамыр арқылы қосарлы енгізу жолы), не болмаса 75 ХБ/кг (0.75 мг/кг) (тамыр арқылы бір енгізу жолы) дейін төмендетілуі тиіс.</w:t>
      </w:r>
    </w:p>
    <w:p w14:paraId="7B26800D"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Гемодиализ кезінде натрий эноксапаринін диализдік контурдың артериялық желісіне диализ сеансының бас кезінде енгізеді. Әдетте бұл доза тек қана 4 сағатқа созылатын гемодиализ сеанстары үшін тиімді. Алайда фибриндік сақиналар анықталғанда, мысалы, әдеттегіден ұзағырақ сеанстан кейін, тағы да 50-100 ХБ/кг (0.5-1 мг/кг) дозаны тағайындауға болады. Натрий эноксапаринін  профилактика немесе емдеу үшін және  гемодиализ сессиясы кезінде қолданған пациенттер жөнінде деректер жоқ.</w:t>
      </w:r>
    </w:p>
    <w:p w14:paraId="0F0B7ADF"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bCs/>
          <w:i/>
          <w:sz w:val="24"/>
          <w:szCs w:val="24"/>
          <w:lang w:val="kk"/>
        </w:rPr>
        <w:t xml:space="preserve">Жедел коронарлық синдром: тұрақсыз стенокардияны және ST сегментінің көтерілуінсіз миокард инфарктісін емдеу </w:t>
      </w:r>
    </w:p>
    <w:p w14:paraId="46757223"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bCs/>
          <w:sz w:val="24"/>
          <w:szCs w:val="24"/>
          <w:lang w:val="kk"/>
        </w:rPr>
        <w:t>Тұрақсыз стенокардияны және ST сегментінің көтерілуінсіз миокард инфарктісін емдеу үшін ұсынылатын дозасы 100 ХБ/кг (1 мг/кг) эноксапаринді құрайды, ол антитромбоцитарлық еммен біріктіріліп тері астына тәулігіне екі рет 12 сағаттық аралықпен  енгізіледі.</w:t>
      </w:r>
    </w:p>
    <w:p w14:paraId="22A87A3D"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Емдеуді кем дегенде 2 тәулік бойы демеп тұру және клиникалық тұрақтануға дейін жалғастыру керек. Емнің ұсынылатын ұзақтығы 2-ден  8 күнге дейін. </w:t>
      </w:r>
    </w:p>
    <w:p w14:paraId="3466419D"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Қарсы көрсетілімдері жоқ барлық пациенттерге ацетилсалицил қышқылымен емдеуді 150-300 мг бастапқы пероральді қанықтырғыш дозада (бұдан бұрын ацетилсалицил қышқылын қабылдамаған пациенттерде) және емдеу стратегиясына байланыссыз күніне 75-325 мг демеуші дозада  ұзақ уақытқа бастау ұсынылады.</w:t>
      </w:r>
    </w:p>
    <w:p w14:paraId="51EFFA80" w14:textId="77777777" w:rsidR="00BB47A1" w:rsidRPr="00996810" w:rsidRDefault="002541C1" w:rsidP="00BB47A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 75 жастағы пациенттерге арналған дозасы «Егде жастағы пациенттер» бөлімінде көрсетілген.</w:t>
      </w:r>
    </w:p>
    <w:p w14:paraId="7E69F1DD" w14:textId="77777777" w:rsidR="00BB47A1"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ТКА (тері арқылы коронарлық араласу) жүргізілетін пациенттерге, егер натрий эноксапариннің соңғы дозасы тері астына баллонды үрлегенге дейін 8 сағаттан аз уақыт бұрын енгізілген болса, қосымша доза қажет емес. Егер тері астына енгізудің соңғы дозасы баллонды үрлегенге дейін 8 сағаттан көп уақыт бұрын енгізілген болса, натрий эноксапариннің 30 ХБ/кг (0,3 мг/кг) венаішілік болюсін енгізу керек.</w:t>
      </w:r>
    </w:p>
    <w:p w14:paraId="4170A4AB"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i/>
          <w:sz w:val="24"/>
          <w:szCs w:val="24"/>
          <w:lang w:val="kk"/>
        </w:rPr>
        <w:t xml:space="preserve">Педиатрияда қолдану </w:t>
      </w:r>
    </w:p>
    <w:p w14:paraId="196A17DA"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Балаларда натрий эноксапаринінің қауіпсіздігі мен тиімділігі анықталмаған.</w:t>
      </w:r>
    </w:p>
    <w:p w14:paraId="1621D6F9"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i/>
          <w:sz w:val="24"/>
          <w:szCs w:val="24"/>
          <w:lang w:val="kk"/>
        </w:rPr>
        <w:t xml:space="preserve">Егде жастағы пациенттерге </w:t>
      </w:r>
    </w:p>
    <w:p w14:paraId="2B40BA97"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ST сегментінің көтерілуімен миокард инфарктісінен басқа барлық көрсетілімдер бойынша, егде жастағы пациенттерде, егер бүйрек функциясы бұзылмаған болса, дозасын азайту қажет емес.</w:t>
      </w:r>
    </w:p>
    <w:p w14:paraId="6D430C2B" w14:textId="77777777" w:rsidR="00E73D4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 75 жастағы егде пациенттерде ST сегментінің көтерілуімен жедел миокард инфарктісін емдеу үшін бастапқы венаішілік болюсті қолданбау керек.  Бастапқы доза 75 ХБ/кг (0,75 мг/кг) құрауы тиіс, тері астына әр 12 сағатта енгізілуі (максимум 7500 ХБ (75 мг) алғашқы екі дозаның әрқайсысы тері астына, содан кейін қалған дозалар үшін 75 ХБ/кг (0,75 мг/кг) тері астына). Бүйрек функциясы бұзылған егде жастағы </w:t>
      </w:r>
      <w:r w:rsidRPr="00996810">
        <w:rPr>
          <w:rFonts w:ascii="Times New Roman" w:hAnsi="Times New Roman" w:cs="Times New Roman"/>
          <w:sz w:val="24"/>
          <w:szCs w:val="24"/>
          <w:lang w:val="kk"/>
        </w:rPr>
        <w:lastRenderedPageBreak/>
        <w:t>пациенттерге арналған дозаны төмендегі «Бүйрек функциясының бұзылуы» бөлімінен және 4.4-бөлімнен қараңыз.</w:t>
      </w:r>
    </w:p>
    <w:p w14:paraId="4036BB3E"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i/>
          <w:sz w:val="24"/>
          <w:szCs w:val="24"/>
          <w:lang w:val="kk"/>
        </w:rPr>
        <w:t>Бауыр функциясының бұзылуы</w:t>
      </w:r>
    </w:p>
    <w:p w14:paraId="0EBA097A"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Бауыр функциясы бұзылған пациенттер үшін (5.1 және 5.2-бөлімдерді қараңыз) деректер шектеулі, препаратты мұндай пациенттерге сақтықпен тағайындау керек (4.4-бөлімді қараңыз).</w:t>
      </w:r>
    </w:p>
    <w:p w14:paraId="120A3988"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i/>
          <w:sz w:val="24"/>
          <w:szCs w:val="24"/>
          <w:lang w:val="kk"/>
        </w:rPr>
        <w:t xml:space="preserve">Бүйрек функциясының бұзылуы </w:t>
      </w:r>
    </w:p>
    <w:p w14:paraId="2D4DD054"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Натрий эноксапарині бүйрек ауруының терминальді сатысындағы (креатинин клиренсі &lt;15 мл/мин) пациенттерге, осы популяцияда гемодиализ жүргізу кезіндегі тромб түзілуінің профилактикасы бойынша деректерден өзге деректердің болмауына байланысты, ұсынылмайды.</w:t>
      </w:r>
    </w:p>
    <w:p w14:paraId="1D3DE9A7"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Бүйрек функциясының ауыр бұзылуы бар (креатинин клиренсі 15-30 мл/мин) пациенттер үшін препаратты дозалау кестесі:</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395"/>
        <w:gridCol w:w="4677"/>
      </w:tblGrid>
      <w:tr w:rsidR="00F05490" w:rsidRPr="00996810" w14:paraId="00586818" w14:textId="77777777" w:rsidTr="00177591">
        <w:trPr>
          <w:trHeight w:val="423"/>
        </w:trPr>
        <w:tc>
          <w:tcPr>
            <w:tcW w:w="4395"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6B397BEA" w14:textId="77777777" w:rsidR="005A10DC" w:rsidRPr="00996810" w:rsidRDefault="002541C1" w:rsidP="005A10DC">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 xml:space="preserve">Көрсетілімдер </w:t>
            </w:r>
          </w:p>
        </w:tc>
        <w:tc>
          <w:tcPr>
            <w:tcW w:w="4677"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1753AE74" w14:textId="77777777" w:rsidR="005A10DC" w:rsidRPr="00996810" w:rsidRDefault="002541C1" w:rsidP="005A10DC">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Дозалау режимі</w:t>
            </w:r>
          </w:p>
        </w:tc>
      </w:tr>
      <w:tr w:rsidR="00F05490" w:rsidRPr="00996810" w14:paraId="737B411F"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5A9E0CED"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Вена тромбоэмболиясы ауруының профилактикасы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7C62C061"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Тәулігіне бір рет 2 000 ХБ (20 мг) тері астына</w:t>
            </w:r>
          </w:p>
        </w:tc>
      </w:tr>
      <w:tr w:rsidR="00F05490" w:rsidRPr="00996810" w14:paraId="4F050C2C"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5A7E3414"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Тереңдегі веналар тромбозын және  өкпе артериясының  тромбоэмболиясын емдеу</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6A0B9CF"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Тәулігіне бір рет дене салмағына 100 ХБ/кг (1 мг/кг) тері астына</w:t>
            </w:r>
          </w:p>
        </w:tc>
      </w:tr>
      <w:tr w:rsidR="00F05490" w:rsidRPr="00996810" w14:paraId="6CD15B1D"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FB0C2E3" w14:textId="77777777" w:rsidR="004B5DDA" w:rsidRPr="00996810" w:rsidRDefault="002541C1" w:rsidP="004B5DDA">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Тереңдегі веналар тромбозын (ТВТ) және өкпе артериясының тромбоэмболиясын (ӨАТЭ) ұзақ уақыт емдеу және белсенді обыры бар пациенттерде олардың рецидивтерінің</w:t>
            </w:r>
          </w:p>
          <w:p w14:paraId="0B313C36" w14:textId="77777777" w:rsidR="00ED6572" w:rsidRPr="00996810" w:rsidRDefault="002541C1" w:rsidP="004B5DDA">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профилактикасы</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7ADF8A80" w14:textId="77777777" w:rsidR="00ED6572"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Тәулігіне бір рет дене салмағына 100 ХБ/кг (1 мг/кг) тері астына </w:t>
            </w:r>
          </w:p>
        </w:tc>
      </w:tr>
      <w:tr w:rsidR="00F05490" w:rsidRPr="00996810" w14:paraId="18ABAEF4"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6A1693D"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Тұрақсыз стенокардияны және ST сегментінің көтерілуінсіз миокард инфарктісін емдеу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694F0CD1"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Тәулігіне бір рет дене салмағына 100 ХБ/кг (1 мг/кг) тері астына</w:t>
            </w:r>
          </w:p>
        </w:tc>
      </w:tr>
      <w:tr w:rsidR="00F05490" w:rsidRPr="00996810" w14:paraId="270BDC7A" w14:textId="77777777" w:rsidTr="00ED6572">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D63983E" w14:textId="77777777" w:rsidR="00ED6572"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ST сегментінің көтерілуімен жедел миокард инфарктін емдеу (75 жастан асқан пациенттер)</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40D42E95" w14:textId="77777777" w:rsidR="00ED6572"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Бастапқы доза вена ішіне енгізілмейді, дене салмағына  100 ХБ/кг (1 мг/кг)  тері астына, содан кейін әр 24 сағат сайын дене салмағына 100 ХБ/кг (1 мг/кг) тері астына.</w:t>
            </w:r>
          </w:p>
        </w:tc>
      </w:tr>
    </w:tbl>
    <w:p w14:paraId="0D15FFB4" w14:textId="77777777" w:rsidR="008F13E3"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Ұсынылған дозалау режимінің гемодиализ жағдайларына қатысы жоқ. </w:t>
      </w:r>
    </w:p>
    <w:p w14:paraId="1FFF4587" w14:textId="77777777" w:rsidR="005A10DC" w:rsidRPr="00996810" w:rsidRDefault="002541C1" w:rsidP="005A10DC">
      <w:pPr>
        <w:spacing w:after="0" w:line="240" w:lineRule="auto"/>
        <w:jc w:val="both"/>
        <w:rPr>
          <w:rFonts w:ascii="Times New Roman" w:hAnsi="Times New Roman" w:cs="Times New Roman"/>
          <w:i/>
          <w:sz w:val="24"/>
          <w:szCs w:val="24"/>
        </w:rPr>
      </w:pPr>
      <w:r w:rsidRPr="00996810">
        <w:rPr>
          <w:rFonts w:ascii="Times New Roman" w:hAnsi="Times New Roman" w:cs="Times New Roman"/>
          <w:i/>
          <w:sz w:val="24"/>
          <w:szCs w:val="24"/>
          <w:lang w:val="kk"/>
        </w:rPr>
        <w:t>Бүйрек функциясының орташа және жеңіл дәрежеде бұзылуы</w:t>
      </w:r>
    </w:p>
    <w:p w14:paraId="1F1B1B2B" w14:textId="77777777" w:rsidR="005A10DC" w:rsidRPr="00996810" w:rsidRDefault="002541C1" w:rsidP="005A10DC">
      <w:pPr>
        <w:spacing w:after="0" w:line="240" w:lineRule="auto"/>
        <w:jc w:val="both"/>
        <w:rPr>
          <w:rFonts w:ascii="Times New Roman" w:hAnsi="Times New Roman" w:cs="Times New Roman"/>
          <w:i/>
          <w:sz w:val="24"/>
          <w:szCs w:val="24"/>
        </w:rPr>
      </w:pPr>
      <w:r w:rsidRPr="00996810">
        <w:rPr>
          <w:rFonts w:ascii="Times New Roman" w:hAnsi="Times New Roman" w:cs="Times New Roman"/>
          <w:sz w:val="24"/>
          <w:szCs w:val="24"/>
          <w:lang w:val="kk"/>
        </w:rPr>
        <w:t>Бүйрек функциясының орташа (креатинин клиренсі 30-50 мл/мин) және жеңіл дәрежеде (креатинин клиренсі 50-80 мл/мин) бұзылуы бар пациенттерге дозаны түзету қажет емес болса да, мұқият клиникалық бақылау ұсынылады.</w:t>
      </w:r>
    </w:p>
    <w:p w14:paraId="6DEE1344" w14:textId="77777777" w:rsidR="0031198A"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Қолдану тәсілі</w:t>
      </w:r>
    </w:p>
    <w:p w14:paraId="6165FEF4"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Катеноксты бұлшықет ішіне қолдануға тыйым салынады.</w:t>
      </w:r>
    </w:p>
    <w:p w14:paraId="20F2BC2C"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Хирургиялық операциядан, ТВТ және ӨАТЭ емдеуден, тұрақсыз стенокардияны және ST сегментінің көтерілуінсіз миокард инфарктісін, ST сегментінің көтерілуімен жедел миокард инфарктісін емдеуден кейін веналық тромбоэмболияның профилактикасы үшін Катенокс тері астына енгізіледі.</w:t>
      </w:r>
    </w:p>
    <w:p w14:paraId="1B299C2F" w14:textId="77777777" w:rsidR="005A10DC" w:rsidRPr="00996810" w:rsidRDefault="002541C1" w:rsidP="005A10DC">
      <w:pPr>
        <w:spacing w:after="0" w:line="240" w:lineRule="auto"/>
        <w:jc w:val="both"/>
        <w:rPr>
          <w:rFonts w:ascii="Times New Roman" w:hAnsi="Times New Roman" w:cs="Times New Roman"/>
          <w:bCs/>
          <w:iCs/>
          <w:sz w:val="24"/>
          <w:szCs w:val="24"/>
        </w:rPr>
      </w:pPr>
      <w:r w:rsidRPr="00996810">
        <w:rPr>
          <w:rFonts w:ascii="Times New Roman" w:hAnsi="Times New Roman" w:cs="Times New Roman"/>
          <w:sz w:val="24"/>
          <w:szCs w:val="24"/>
          <w:lang w:val="kk"/>
        </w:rPr>
        <w:t xml:space="preserve">Гемодиализ жүргізу кезінде экстракорпоральді қанайналым жүйесінде тромб түзілуінің алдын алу үшін препарат диализдік контурдың артериялық магистралі арқылы енгізіледі. </w:t>
      </w:r>
    </w:p>
    <w:p w14:paraId="26597365" w14:textId="77777777" w:rsidR="005A10DC" w:rsidRPr="00996810" w:rsidRDefault="002541C1" w:rsidP="005A10DC">
      <w:pPr>
        <w:spacing w:after="0" w:line="240" w:lineRule="auto"/>
        <w:jc w:val="both"/>
        <w:rPr>
          <w:rFonts w:ascii="Times New Roman" w:hAnsi="Times New Roman" w:cs="Times New Roman"/>
          <w:i/>
          <w:sz w:val="24"/>
          <w:szCs w:val="24"/>
        </w:rPr>
      </w:pPr>
      <w:r w:rsidRPr="00996810">
        <w:rPr>
          <w:rFonts w:ascii="Times New Roman" w:hAnsi="Times New Roman" w:cs="Times New Roman"/>
          <w:bCs/>
          <w:iCs/>
          <w:sz w:val="24"/>
          <w:szCs w:val="24"/>
          <w:lang w:val="kk"/>
        </w:rPr>
        <w:t xml:space="preserve">Алдын ала толтырылған бір реттік шприц дереу пайдалануға дайын. </w:t>
      </w:r>
    </w:p>
    <w:p w14:paraId="50ACA5A2" w14:textId="77777777" w:rsidR="005A10DC" w:rsidRPr="00996810" w:rsidRDefault="002541C1" w:rsidP="00B37905">
      <w:pPr>
        <w:spacing w:after="0" w:line="240" w:lineRule="auto"/>
        <w:jc w:val="both"/>
        <w:rPr>
          <w:rFonts w:ascii="Times New Roman" w:hAnsi="Times New Roman" w:cs="Times New Roman"/>
          <w:i/>
          <w:sz w:val="24"/>
          <w:szCs w:val="24"/>
        </w:rPr>
      </w:pPr>
      <w:r w:rsidRPr="00996810">
        <w:rPr>
          <w:rFonts w:ascii="Times New Roman" w:hAnsi="Times New Roman" w:cs="Times New Roman"/>
          <w:i/>
          <w:sz w:val="24"/>
          <w:szCs w:val="24"/>
          <w:lang w:val="kk"/>
        </w:rPr>
        <w:t>Тері астына енгізу:</w:t>
      </w:r>
    </w:p>
    <w:p w14:paraId="0A5B1DAF"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Катенокс препаратының инъекциясын науқастың жатқан күйінде, тері астына тереңдете орындаған дұрыс.</w:t>
      </w:r>
    </w:p>
    <w:p w14:paraId="648E7047"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Алдын ала толтырылған шприцтерді пайдаланған жағдайда препаратқа шығын келтірмеу үшін инъекция алдында шприцтен ауа көпіршігін шығармау керек. Кейбір </w:t>
      </w:r>
      <w:r w:rsidRPr="00996810">
        <w:rPr>
          <w:rFonts w:ascii="Times New Roman" w:hAnsi="Times New Roman" w:cs="Times New Roman"/>
          <w:sz w:val="24"/>
          <w:szCs w:val="24"/>
          <w:lang w:val="kk"/>
        </w:rPr>
        <w:lastRenderedPageBreak/>
        <w:t xml:space="preserve">жағдайларда дәлме-дәл дозаға жету мүмкін емес екеніне назар аударыңыз және мұндай жағдайда көлемі жақын бөлікке дейін дөңгелектенеді. </w:t>
      </w:r>
    </w:p>
    <w:p w14:paraId="47764C5A"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Инъекцияны іштің біресе сол жақ, біресе оң жақ алдыңғы бүйірдегі немесе артқы бүйірдегі қабырғасына кезек енгізеді. Инені бүкіл ұзына бойына қолдың сұқ саусағы мен бас бармағының арасына қысқан терінің қатпарына перпендикуляр енгізген жөн. Бүкіл инъекция барысында терінің осы бөлігі саусақтар арасына қысылып тұруы тиіс. Егізгеннен кейін инъекция орнын ысқыламау керек.</w:t>
      </w:r>
    </w:p>
    <w:p w14:paraId="205BFC81" w14:textId="77777777" w:rsidR="00194A11" w:rsidRPr="00996810" w:rsidRDefault="002541C1" w:rsidP="00194A11">
      <w:pPr>
        <w:spacing w:after="0" w:line="240" w:lineRule="auto"/>
        <w:jc w:val="both"/>
        <w:rPr>
          <w:rFonts w:ascii="Times New Roman" w:hAnsi="Times New Roman" w:cs="Times New Roman"/>
          <w:i/>
          <w:iCs/>
          <w:sz w:val="24"/>
          <w:szCs w:val="24"/>
          <w:lang w:val="kk"/>
        </w:rPr>
      </w:pPr>
      <w:r w:rsidRPr="00996810">
        <w:rPr>
          <w:rFonts w:ascii="Times New Roman" w:hAnsi="Times New Roman" w:cs="Times New Roman"/>
          <w:i/>
          <w:iCs/>
          <w:sz w:val="24"/>
          <w:szCs w:val="24"/>
          <w:lang w:val="kk"/>
        </w:rPr>
        <w:t>Егер тері астына енгізу баллонды үрлегенге дейін 8 сағаттан көп уақыт бұрын жүргізілген болса, ТАЕ арналған қосымша болюс:</w:t>
      </w:r>
    </w:p>
    <w:p w14:paraId="03F2923F" w14:textId="77777777" w:rsidR="00194A11" w:rsidRPr="00996810" w:rsidRDefault="002541C1" w:rsidP="00194A1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ТАЕ көмегімен ем алып жүрген пациенттерге тері астына соңғы енгізу баллонды үрлегенге дейін 8 сағаттан көп уақыт бұрын жүргізілген болса, қосымша венаішілік 30 ХБ/кг (0,3 мг/кг) болюсті енгізу қажет.</w:t>
      </w:r>
    </w:p>
    <w:p w14:paraId="0BE122E7" w14:textId="77777777" w:rsidR="00194A11" w:rsidRPr="00996810" w:rsidRDefault="002541C1" w:rsidP="00194A1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Инъекцияға арналған шағын көлемнің нақтылығын қамтамасыз ету үшін препаратты 300 ХБ/мл (3 мг/мл) дейін сұйылту қажет.</w:t>
      </w:r>
    </w:p>
    <w:p w14:paraId="5704AB3E" w14:textId="77777777" w:rsidR="00DE3FE2" w:rsidRPr="00996810" w:rsidRDefault="002541C1" w:rsidP="00194A1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300 ХБ/мл (3 мг/мл) ерітінді алу үшін 4000 ХБ (40 мг) + 2000 МЕ (20 мг) натрий эноксапаринімен алдын ала толтырылған шприцті пайдалану ұсынылады, төмендегідей жиынтығында 6000 ХБ (60 мг) және 50 мл инфузиялық пакет (яғни, не физиологиялық ерітіндіні (0,9%), не судағы 5% декстрозаны пайдаланып) алу үшін:</w:t>
      </w:r>
    </w:p>
    <w:p w14:paraId="692A539F" w14:textId="77777777" w:rsidR="00194A11" w:rsidRPr="00996810" w:rsidRDefault="002541C1" w:rsidP="00194A1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Шприцтің көмегімен инфузиялық қапшықтан 30 мл алыңыз және сұйықтықты төгіңіз. 4000 ХБ (40 мг) + 2000 ХБ (20 мг) натрий эноксапаринімен алдын ала толтырылған шприцтердің ішіндегісінің барлығын қапшықта қалған 20 мл  енгізіңіз. Қапшықтың ішіндегісін абайлап араластырыңыз. Тамызғыға енгізу үшін шприцтің көмегімен сұйылтылған ерітіндінің қажетті көлемін алыңыз.</w:t>
      </w:r>
    </w:p>
    <w:p w14:paraId="17D6DC65" w14:textId="77777777" w:rsidR="00194A11" w:rsidRPr="00996810" w:rsidRDefault="002541C1" w:rsidP="00194A1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Сұйылту аяқталғаннан кейін инъекцияға арналған көлемді келесі формула бойынша [Сұйылтылған ерітінді көлемі (мл) = Пациенттің салмағы (кг) x 0,1] немесе төменде берілген кестенің көмегімен есептеуге болады. Сұйылтуды тікелей қолданар алдында дайындау ұсынылады.</w:t>
      </w:r>
    </w:p>
    <w:p w14:paraId="28D1DC2B" w14:textId="77777777" w:rsidR="00194A11"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Сұйылту аяқталғаннан кейін тамызғы арқылы 300 ХБ (3 мг)/мл концентрациясында инъекцияға арналған көлем.</w:t>
      </w:r>
    </w:p>
    <w:tbl>
      <w:tblPr>
        <w:tblStyle w:val="aa"/>
        <w:tblW w:w="0" w:type="auto"/>
        <w:tblInd w:w="108" w:type="dxa"/>
        <w:tblLook w:val="04A0" w:firstRow="1" w:lastRow="0" w:firstColumn="1" w:lastColumn="0" w:noHBand="0" w:noVBand="1"/>
      </w:tblPr>
      <w:tblGrid>
        <w:gridCol w:w="1276"/>
        <w:gridCol w:w="1701"/>
        <w:gridCol w:w="1701"/>
        <w:gridCol w:w="4501"/>
      </w:tblGrid>
      <w:tr w:rsidR="00F05490" w:rsidRPr="00996810" w14:paraId="38FDDB38" w14:textId="77777777" w:rsidTr="00996810">
        <w:tc>
          <w:tcPr>
            <w:tcW w:w="1276" w:type="dxa"/>
          </w:tcPr>
          <w:p w14:paraId="15F8306B" w14:textId="77777777" w:rsidR="00857F92" w:rsidRPr="00996810" w:rsidRDefault="002541C1" w:rsidP="005A10DC">
            <w:pPr>
              <w:spacing w:after="0" w:line="240" w:lineRule="auto"/>
              <w:jc w:val="both"/>
              <w:rPr>
                <w:rFonts w:ascii="Times New Roman" w:hAnsi="Times New Roman"/>
                <w:b/>
                <w:bCs/>
                <w:sz w:val="24"/>
                <w:szCs w:val="24"/>
              </w:rPr>
            </w:pPr>
            <w:r w:rsidRPr="00996810">
              <w:rPr>
                <w:rFonts w:ascii="Times New Roman" w:hAnsi="Times New Roman"/>
                <w:b/>
                <w:bCs/>
                <w:sz w:val="24"/>
                <w:szCs w:val="24"/>
                <w:lang w:val="kk"/>
              </w:rPr>
              <w:t>Салмақ</w:t>
            </w:r>
          </w:p>
        </w:tc>
        <w:tc>
          <w:tcPr>
            <w:tcW w:w="3402" w:type="dxa"/>
            <w:gridSpan w:val="2"/>
          </w:tcPr>
          <w:p w14:paraId="6D6647B1" w14:textId="77777777" w:rsidR="00857F92" w:rsidRPr="00996810" w:rsidRDefault="002541C1" w:rsidP="005A10DC">
            <w:pPr>
              <w:spacing w:after="0" w:line="240" w:lineRule="auto"/>
              <w:jc w:val="both"/>
              <w:rPr>
                <w:rFonts w:ascii="Times New Roman" w:hAnsi="Times New Roman"/>
                <w:b/>
                <w:bCs/>
                <w:sz w:val="24"/>
                <w:szCs w:val="24"/>
              </w:rPr>
            </w:pPr>
            <w:r w:rsidRPr="00996810">
              <w:rPr>
                <w:rFonts w:ascii="Times New Roman" w:hAnsi="Times New Roman"/>
                <w:b/>
                <w:bCs/>
                <w:sz w:val="24"/>
                <w:szCs w:val="24"/>
                <w:lang w:val="kk"/>
              </w:rPr>
              <w:t>Қажетті доза</w:t>
            </w:r>
          </w:p>
          <w:p w14:paraId="07D954CE" w14:textId="77777777" w:rsidR="00857F92" w:rsidRPr="00996810" w:rsidRDefault="002541C1" w:rsidP="005A10DC">
            <w:pPr>
              <w:spacing w:after="0" w:line="240" w:lineRule="auto"/>
              <w:jc w:val="both"/>
              <w:rPr>
                <w:rFonts w:ascii="Times New Roman" w:hAnsi="Times New Roman"/>
                <w:b/>
                <w:bCs/>
                <w:sz w:val="24"/>
                <w:szCs w:val="24"/>
              </w:rPr>
            </w:pPr>
            <w:r w:rsidRPr="00996810">
              <w:rPr>
                <w:rFonts w:ascii="Times New Roman" w:hAnsi="Times New Roman"/>
                <w:b/>
                <w:bCs/>
                <w:sz w:val="24"/>
                <w:szCs w:val="24"/>
                <w:lang w:val="kk"/>
              </w:rPr>
              <w:t>30 ХБ / кг (0.3 мг / кг)</w:t>
            </w:r>
          </w:p>
        </w:tc>
        <w:tc>
          <w:tcPr>
            <w:tcW w:w="4501" w:type="dxa"/>
          </w:tcPr>
          <w:p w14:paraId="37970DEC" w14:textId="77777777" w:rsidR="00857F92" w:rsidRPr="00996810" w:rsidRDefault="002541C1" w:rsidP="005A10DC">
            <w:pPr>
              <w:spacing w:after="0" w:line="240" w:lineRule="auto"/>
              <w:jc w:val="both"/>
              <w:rPr>
                <w:rFonts w:ascii="Times New Roman" w:hAnsi="Times New Roman"/>
                <w:b/>
                <w:bCs/>
                <w:sz w:val="24"/>
                <w:szCs w:val="24"/>
              </w:rPr>
            </w:pPr>
            <w:r w:rsidRPr="00996810">
              <w:rPr>
                <w:rFonts w:ascii="Times New Roman" w:hAnsi="Times New Roman"/>
                <w:b/>
                <w:bCs/>
                <w:sz w:val="24"/>
                <w:szCs w:val="24"/>
                <w:lang w:val="kk"/>
              </w:rPr>
              <w:t>300 ХБ (3 мг)/мл соңғы концентрацияға дейін сұйылтқан кездегі инъекцияға арналған көлем</w:t>
            </w:r>
          </w:p>
        </w:tc>
      </w:tr>
      <w:tr w:rsidR="00F05490" w:rsidRPr="00996810" w14:paraId="5A3124C2" w14:textId="77777777" w:rsidTr="00996810">
        <w:tc>
          <w:tcPr>
            <w:tcW w:w="1276" w:type="dxa"/>
          </w:tcPr>
          <w:p w14:paraId="7DCFCDE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кг</w:t>
            </w:r>
          </w:p>
        </w:tc>
        <w:tc>
          <w:tcPr>
            <w:tcW w:w="1701" w:type="dxa"/>
          </w:tcPr>
          <w:p w14:paraId="281C147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ХБ</w:t>
            </w:r>
          </w:p>
        </w:tc>
        <w:tc>
          <w:tcPr>
            <w:tcW w:w="1701" w:type="dxa"/>
          </w:tcPr>
          <w:p w14:paraId="58497CAF"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[мг]</w:t>
            </w:r>
          </w:p>
        </w:tc>
        <w:tc>
          <w:tcPr>
            <w:tcW w:w="4501" w:type="dxa"/>
          </w:tcPr>
          <w:p w14:paraId="1641178C"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[мл]</w:t>
            </w:r>
          </w:p>
        </w:tc>
      </w:tr>
      <w:tr w:rsidR="00F05490" w:rsidRPr="00996810" w14:paraId="10446962" w14:textId="77777777" w:rsidTr="00996810">
        <w:tc>
          <w:tcPr>
            <w:tcW w:w="1276" w:type="dxa"/>
          </w:tcPr>
          <w:p w14:paraId="2A5C0A95"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45</w:t>
            </w:r>
          </w:p>
        </w:tc>
        <w:tc>
          <w:tcPr>
            <w:tcW w:w="1701" w:type="dxa"/>
          </w:tcPr>
          <w:p w14:paraId="280EC36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1350</w:t>
            </w:r>
          </w:p>
        </w:tc>
        <w:tc>
          <w:tcPr>
            <w:tcW w:w="1701" w:type="dxa"/>
          </w:tcPr>
          <w:p w14:paraId="596A447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13.5</w:t>
            </w:r>
          </w:p>
        </w:tc>
        <w:tc>
          <w:tcPr>
            <w:tcW w:w="4501" w:type="dxa"/>
          </w:tcPr>
          <w:p w14:paraId="5CD270F6"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4.5</w:t>
            </w:r>
          </w:p>
        </w:tc>
      </w:tr>
      <w:tr w:rsidR="00F05490" w:rsidRPr="00996810" w14:paraId="7716015B" w14:textId="77777777" w:rsidTr="00996810">
        <w:tc>
          <w:tcPr>
            <w:tcW w:w="1276" w:type="dxa"/>
          </w:tcPr>
          <w:p w14:paraId="2B8B8A2D"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50</w:t>
            </w:r>
          </w:p>
        </w:tc>
        <w:tc>
          <w:tcPr>
            <w:tcW w:w="1701" w:type="dxa"/>
          </w:tcPr>
          <w:p w14:paraId="2340B55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1500</w:t>
            </w:r>
          </w:p>
        </w:tc>
        <w:tc>
          <w:tcPr>
            <w:tcW w:w="1701" w:type="dxa"/>
          </w:tcPr>
          <w:p w14:paraId="0478BD85"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15</w:t>
            </w:r>
          </w:p>
        </w:tc>
        <w:tc>
          <w:tcPr>
            <w:tcW w:w="4501" w:type="dxa"/>
          </w:tcPr>
          <w:p w14:paraId="270B49A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5</w:t>
            </w:r>
          </w:p>
        </w:tc>
      </w:tr>
      <w:tr w:rsidR="00F05490" w:rsidRPr="00996810" w14:paraId="188AA43C" w14:textId="77777777" w:rsidTr="00996810">
        <w:tc>
          <w:tcPr>
            <w:tcW w:w="1276" w:type="dxa"/>
          </w:tcPr>
          <w:p w14:paraId="223EF0E7"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55</w:t>
            </w:r>
          </w:p>
        </w:tc>
        <w:tc>
          <w:tcPr>
            <w:tcW w:w="1701" w:type="dxa"/>
          </w:tcPr>
          <w:p w14:paraId="63AC96A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1650</w:t>
            </w:r>
          </w:p>
        </w:tc>
        <w:tc>
          <w:tcPr>
            <w:tcW w:w="1701" w:type="dxa"/>
          </w:tcPr>
          <w:p w14:paraId="6F1D2CA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16.5</w:t>
            </w:r>
          </w:p>
        </w:tc>
        <w:tc>
          <w:tcPr>
            <w:tcW w:w="4501" w:type="dxa"/>
          </w:tcPr>
          <w:p w14:paraId="4D462F1F"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5.5</w:t>
            </w:r>
          </w:p>
        </w:tc>
      </w:tr>
      <w:tr w:rsidR="00F05490" w:rsidRPr="00996810" w14:paraId="31478E6F" w14:textId="77777777" w:rsidTr="00996810">
        <w:tc>
          <w:tcPr>
            <w:tcW w:w="1276" w:type="dxa"/>
          </w:tcPr>
          <w:p w14:paraId="19CB61D3"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60</w:t>
            </w:r>
          </w:p>
        </w:tc>
        <w:tc>
          <w:tcPr>
            <w:tcW w:w="1701" w:type="dxa"/>
          </w:tcPr>
          <w:p w14:paraId="2A748ED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1800</w:t>
            </w:r>
          </w:p>
        </w:tc>
        <w:tc>
          <w:tcPr>
            <w:tcW w:w="1701" w:type="dxa"/>
          </w:tcPr>
          <w:p w14:paraId="5498372D"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18</w:t>
            </w:r>
          </w:p>
        </w:tc>
        <w:tc>
          <w:tcPr>
            <w:tcW w:w="4501" w:type="dxa"/>
          </w:tcPr>
          <w:p w14:paraId="6E89A338"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6</w:t>
            </w:r>
          </w:p>
        </w:tc>
      </w:tr>
      <w:tr w:rsidR="00F05490" w:rsidRPr="00996810" w14:paraId="5A2208FC" w14:textId="77777777" w:rsidTr="00996810">
        <w:tc>
          <w:tcPr>
            <w:tcW w:w="1276" w:type="dxa"/>
          </w:tcPr>
          <w:p w14:paraId="2130122A"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65</w:t>
            </w:r>
          </w:p>
        </w:tc>
        <w:tc>
          <w:tcPr>
            <w:tcW w:w="1701" w:type="dxa"/>
          </w:tcPr>
          <w:p w14:paraId="4C35A6E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1950</w:t>
            </w:r>
          </w:p>
        </w:tc>
        <w:tc>
          <w:tcPr>
            <w:tcW w:w="1701" w:type="dxa"/>
          </w:tcPr>
          <w:p w14:paraId="4151D1DA"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19.5</w:t>
            </w:r>
          </w:p>
        </w:tc>
        <w:tc>
          <w:tcPr>
            <w:tcW w:w="4501" w:type="dxa"/>
          </w:tcPr>
          <w:p w14:paraId="7AEC666B"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6.5</w:t>
            </w:r>
          </w:p>
        </w:tc>
      </w:tr>
      <w:tr w:rsidR="00F05490" w:rsidRPr="00996810" w14:paraId="354EFA8E" w14:textId="77777777" w:rsidTr="00996810">
        <w:tc>
          <w:tcPr>
            <w:tcW w:w="1276" w:type="dxa"/>
          </w:tcPr>
          <w:p w14:paraId="66BF9DF6"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70</w:t>
            </w:r>
          </w:p>
        </w:tc>
        <w:tc>
          <w:tcPr>
            <w:tcW w:w="1701" w:type="dxa"/>
          </w:tcPr>
          <w:p w14:paraId="601BCE37"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2100</w:t>
            </w:r>
          </w:p>
        </w:tc>
        <w:tc>
          <w:tcPr>
            <w:tcW w:w="1701" w:type="dxa"/>
          </w:tcPr>
          <w:p w14:paraId="25C30AB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21</w:t>
            </w:r>
          </w:p>
        </w:tc>
        <w:tc>
          <w:tcPr>
            <w:tcW w:w="4501" w:type="dxa"/>
          </w:tcPr>
          <w:p w14:paraId="467FF10B"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7</w:t>
            </w:r>
          </w:p>
        </w:tc>
      </w:tr>
      <w:tr w:rsidR="00F05490" w:rsidRPr="00996810" w14:paraId="52F439F3" w14:textId="77777777" w:rsidTr="00996810">
        <w:tc>
          <w:tcPr>
            <w:tcW w:w="1276" w:type="dxa"/>
          </w:tcPr>
          <w:p w14:paraId="31EEDEF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75</w:t>
            </w:r>
          </w:p>
        </w:tc>
        <w:tc>
          <w:tcPr>
            <w:tcW w:w="1701" w:type="dxa"/>
          </w:tcPr>
          <w:p w14:paraId="33ECB19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2250</w:t>
            </w:r>
          </w:p>
        </w:tc>
        <w:tc>
          <w:tcPr>
            <w:tcW w:w="1701" w:type="dxa"/>
          </w:tcPr>
          <w:p w14:paraId="1A653A4F"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22.5</w:t>
            </w:r>
          </w:p>
        </w:tc>
        <w:tc>
          <w:tcPr>
            <w:tcW w:w="4501" w:type="dxa"/>
          </w:tcPr>
          <w:p w14:paraId="387A9D60"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7.5</w:t>
            </w:r>
          </w:p>
        </w:tc>
      </w:tr>
      <w:tr w:rsidR="00F05490" w:rsidRPr="00996810" w14:paraId="7F5DDB1C" w14:textId="77777777" w:rsidTr="00996810">
        <w:tc>
          <w:tcPr>
            <w:tcW w:w="1276" w:type="dxa"/>
          </w:tcPr>
          <w:p w14:paraId="7E60037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80</w:t>
            </w:r>
          </w:p>
        </w:tc>
        <w:tc>
          <w:tcPr>
            <w:tcW w:w="1701" w:type="dxa"/>
          </w:tcPr>
          <w:p w14:paraId="447173B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2400</w:t>
            </w:r>
          </w:p>
        </w:tc>
        <w:tc>
          <w:tcPr>
            <w:tcW w:w="1701" w:type="dxa"/>
          </w:tcPr>
          <w:p w14:paraId="4F716057"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24</w:t>
            </w:r>
          </w:p>
        </w:tc>
        <w:tc>
          <w:tcPr>
            <w:tcW w:w="4501" w:type="dxa"/>
          </w:tcPr>
          <w:p w14:paraId="4B89C52B"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8</w:t>
            </w:r>
          </w:p>
        </w:tc>
      </w:tr>
      <w:tr w:rsidR="00F05490" w:rsidRPr="00996810" w14:paraId="6C2B01EE" w14:textId="77777777" w:rsidTr="00996810">
        <w:tc>
          <w:tcPr>
            <w:tcW w:w="1276" w:type="dxa"/>
          </w:tcPr>
          <w:p w14:paraId="4EABAED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85</w:t>
            </w:r>
          </w:p>
        </w:tc>
        <w:tc>
          <w:tcPr>
            <w:tcW w:w="1701" w:type="dxa"/>
          </w:tcPr>
          <w:p w14:paraId="2B60517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2550</w:t>
            </w:r>
          </w:p>
        </w:tc>
        <w:tc>
          <w:tcPr>
            <w:tcW w:w="1701" w:type="dxa"/>
          </w:tcPr>
          <w:p w14:paraId="2923164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25.5</w:t>
            </w:r>
          </w:p>
        </w:tc>
        <w:tc>
          <w:tcPr>
            <w:tcW w:w="4501" w:type="dxa"/>
          </w:tcPr>
          <w:p w14:paraId="4219A064"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8.5</w:t>
            </w:r>
          </w:p>
        </w:tc>
      </w:tr>
      <w:tr w:rsidR="00F05490" w:rsidRPr="00996810" w14:paraId="3426C767" w14:textId="77777777" w:rsidTr="00996810">
        <w:tc>
          <w:tcPr>
            <w:tcW w:w="1276" w:type="dxa"/>
          </w:tcPr>
          <w:p w14:paraId="48F5ECFD"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90</w:t>
            </w:r>
          </w:p>
        </w:tc>
        <w:tc>
          <w:tcPr>
            <w:tcW w:w="1701" w:type="dxa"/>
          </w:tcPr>
          <w:p w14:paraId="1D91848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2700</w:t>
            </w:r>
          </w:p>
        </w:tc>
        <w:tc>
          <w:tcPr>
            <w:tcW w:w="1701" w:type="dxa"/>
          </w:tcPr>
          <w:p w14:paraId="7296B22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27</w:t>
            </w:r>
          </w:p>
        </w:tc>
        <w:tc>
          <w:tcPr>
            <w:tcW w:w="4501" w:type="dxa"/>
          </w:tcPr>
          <w:p w14:paraId="1A3D13A1"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9</w:t>
            </w:r>
          </w:p>
        </w:tc>
      </w:tr>
      <w:tr w:rsidR="00F05490" w:rsidRPr="00996810" w14:paraId="53B5D237" w14:textId="77777777" w:rsidTr="00996810">
        <w:tc>
          <w:tcPr>
            <w:tcW w:w="1276" w:type="dxa"/>
          </w:tcPr>
          <w:p w14:paraId="4EBC91EF"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95</w:t>
            </w:r>
          </w:p>
        </w:tc>
        <w:tc>
          <w:tcPr>
            <w:tcW w:w="1701" w:type="dxa"/>
          </w:tcPr>
          <w:p w14:paraId="33375DA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2850</w:t>
            </w:r>
          </w:p>
        </w:tc>
        <w:tc>
          <w:tcPr>
            <w:tcW w:w="1701" w:type="dxa"/>
          </w:tcPr>
          <w:p w14:paraId="6E10DC15"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28.5</w:t>
            </w:r>
          </w:p>
        </w:tc>
        <w:tc>
          <w:tcPr>
            <w:tcW w:w="4501" w:type="dxa"/>
          </w:tcPr>
          <w:p w14:paraId="17D7FA9B"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9.5</w:t>
            </w:r>
          </w:p>
        </w:tc>
      </w:tr>
      <w:tr w:rsidR="00F05490" w:rsidRPr="00996810" w14:paraId="4D103549" w14:textId="77777777" w:rsidTr="00996810">
        <w:trPr>
          <w:trHeight w:val="279"/>
        </w:trPr>
        <w:tc>
          <w:tcPr>
            <w:tcW w:w="1276" w:type="dxa"/>
          </w:tcPr>
          <w:p w14:paraId="014E73E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100</w:t>
            </w:r>
          </w:p>
        </w:tc>
        <w:tc>
          <w:tcPr>
            <w:tcW w:w="1701" w:type="dxa"/>
          </w:tcPr>
          <w:p w14:paraId="39C047CB" w14:textId="77777777" w:rsidR="00857F92" w:rsidRPr="00996810" w:rsidRDefault="002541C1" w:rsidP="00857F92">
            <w:pPr>
              <w:spacing w:after="0" w:line="240" w:lineRule="auto"/>
              <w:rPr>
                <w:rFonts w:ascii="Times New Roman" w:hAnsi="Times New Roman"/>
                <w:sz w:val="24"/>
                <w:szCs w:val="24"/>
              </w:rPr>
            </w:pPr>
            <w:r w:rsidRPr="00996810">
              <w:rPr>
                <w:rFonts w:ascii="Times New Roman" w:hAnsi="Times New Roman"/>
                <w:sz w:val="24"/>
                <w:szCs w:val="24"/>
                <w:lang w:val="kk"/>
              </w:rPr>
              <w:t>3000</w:t>
            </w:r>
          </w:p>
        </w:tc>
        <w:tc>
          <w:tcPr>
            <w:tcW w:w="1701" w:type="dxa"/>
          </w:tcPr>
          <w:p w14:paraId="208F146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30</w:t>
            </w:r>
          </w:p>
        </w:tc>
        <w:tc>
          <w:tcPr>
            <w:tcW w:w="4501" w:type="dxa"/>
          </w:tcPr>
          <w:p w14:paraId="2C0EC109"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10</w:t>
            </w:r>
          </w:p>
        </w:tc>
      </w:tr>
      <w:tr w:rsidR="00F05490" w:rsidRPr="00996810" w14:paraId="03C67698" w14:textId="77777777" w:rsidTr="00996810">
        <w:tc>
          <w:tcPr>
            <w:tcW w:w="1276" w:type="dxa"/>
          </w:tcPr>
          <w:p w14:paraId="01D90226"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105</w:t>
            </w:r>
          </w:p>
        </w:tc>
        <w:tc>
          <w:tcPr>
            <w:tcW w:w="1701" w:type="dxa"/>
          </w:tcPr>
          <w:p w14:paraId="7D3409FF"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3150</w:t>
            </w:r>
          </w:p>
        </w:tc>
        <w:tc>
          <w:tcPr>
            <w:tcW w:w="1701" w:type="dxa"/>
          </w:tcPr>
          <w:p w14:paraId="5070838F"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31.5</w:t>
            </w:r>
          </w:p>
        </w:tc>
        <w:tc>
          <w:tcPr>
            <w:tcW w:w="4501" w:type="dxa"/>
          </w:tcPr>
          <w:p w14:paraId="0773E28A"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10.5</w:t>
            </w:r>
          </w:p>
        </w:tc>
      </w:tr>
      <w:tr w:rsidR="00F05490" w:rsidRPr="00996810" w14:paraId="28B4457A" w14:textId="77777777" w:rsidTr="00996810">
        <w:tc>
          <w:tcPr>
            <w:tcW w:w="1276" w:type="dxa"/>
          </w:tcPr>
          <w:p w14:paraId="6FC04A0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110</w:t>
            </w:r>
          </w:p>
        </w:tc>
        <w:tc>
          <w:tcPr>
            <w:tcW w:w="1701" w:type="dxa"/>
          </w:tcPr>
          <w:p w14:paraId="3EE40FAF"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3300</w:t>
            </w:r>
          </w:p>
        </w:tc>
        <w:tc>
          <w:tcPr>
            <w:tcW w:w="1701" w:type="dxa"/>
          </w:tcPr>
          <w:p w14:paraId="4E3A8836"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33</w:t>
            </w:r>
          </w:p>
        </w:tc>
        <w:tc>
          <w:tcPr>
            <w:tcW w:w="4501" w:type="dxa"/>
          </w:tcPr>
          <w:p w14:paraId="36885F14"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11</w:t>
            </w:r>
          </w:p>
        </w:tc>
      </w:tr>
      <w:tr w:rsidR="00F05490" w:rsidRPr="00996810" w14:paraId="0CB02042" w14:textId="77777777" w:rsidTr="00996810">
        <w:tc>
          <w:tcPr>
            <w:tcW w:w="1276" w:type="dxa"/>
          </w:tcPr>
          <w:p w14:paraId="26DA308A"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115</w:t>
            </w:r>
          </w:p>
        </w:tc>
        <w:tc>
          <w:tcPr>
            <w:tcW w:w="1701" w:type="dxa"/>
          </w:tcPr>
          <w:p w14:paraId="1B84E218"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3450</w:t>
            </w:r>
          </w:p>
        </w:tc>
        <w:tc>
          <w:tcPr>
            <w:tcW w:w="1701" w:type="dxa"/>
          </w:tcPr>
          <w:p w14:paraId="53E282E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34.5</w:t>
            </w:r>
          </w:p>
        </w:tc>
        <w:tc>
          <w:tcPr>
            <w:tcW w:w="4501" w:type="dxa"/>
          </w:tcPr>
          <w:p w14:paraId="33C44C4E"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11.5</w:t>
            </w:r>
          </w:p>
        </w:tc>
      </w:tr>
      <w:tr w:rsidR="00F05490" w:rsidRPr="00996810" w14:paraId="007FB30F" w14:textId="77777777" w:rsidTr="00996810">
        <w:tc>
          <w:tcPr>
            <w:tcW w:w="1276" w:type="dxa"/>
          </w:tcPr>
          <w:p w14:paraId="5BD2483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120</w:t>
            </w:r>
          </w:p>
        </w:tc>
        <w:tc>
          <w:tcPr>
            <w:tcW w:w="1701" w:type="dxa"/>
          </w:tcPr>
          <w:p w14:paraId="2D2A11D8"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3600</w:t>
            </w:r>
          </w:p>
        </w:tc>
        <w:tc>
          <w:tcPr>
            <w:tcW w:w="1701" w:type="dxa"/>
          </w:tcPr>
          <w:p w14:paraId="41FB6276"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36</w:t>
            </w:r>
          </w:p>
        </w:tc>
        <w:tc>
          <w:tcPr>
            <w:tcW w:w="4501" w:type="dxa"/>
          </w:tcPr>
          <w:p w14:paraId="63FD1E49"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12</w:t>
            </w:r>
          </w:p>
        </w:tc>
      </w:tr>
      <w:tr w:rsidR="00F05490" w:rsidRPr="00996810" w14:paraId="6A147C14" w14:textId="77777777" w:rsidTr="00996810">
        <w:tc>
          <w:tcPr>
            <w:tcW w:w="1276" w:type="dxa"/>
          </w:tcPr>
          <w:p w14:paraId="3E050670"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125</w:t>
            </w:r>
          </w:p>
        </w:tc>
        <w:tc>
          <w:tcPr>
            <w:tcW w:w="1701" w:type="dxa"/>
          </w:tcPr>
          <w:p w14:paraId="61D4D52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3750</w:t>
            </w:r>
          </w:p>
        </w:tc>
        <w:tc>
          <w:tcPr>
            <w:tcW w:w="1701" w:type="dxa"/>
          </w:tcPr>
          <w:p w14:paraId="3D02E02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37.5</w:t>
            </w:r>
          </w:p>
        </w:tc>
        <w:tc>
          <w:tcPr>
            <w:tcW w:w="4501" w:type="dxa"/>
          </w:tcPr>
          <w:p w14:paraId="325E634E"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12.5</w:t>
            </w:r>
          </w:p>
        </w:tc>
      </w:tr>
      <w:tr w:rsidR="00F05490" w:rsidRPr="00996810" w14:paraId="1FA0D207" w14:textId="77777777" w:rsidTr="00996810">
        <w:tc>
          <w:tcPr>
            <w:tcW w:w="1276" w:type="dxa"/>
          </w:tcPr>
          <w:p w14:paraId="2EE8F5D1"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130</w:t>
            </w:r>
          </w:p>
        </w:tc>
        <w:tc>
          <w:tcPr>
            <w:tcW w:w="1701" w:type="dxa"/>
          </w:tcPr>
          <w:p w14:paraId="3A2B11A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3900</w:t>
            </w:r>
          </w:p>
        </w:tc>
        <w:tc>
          <w:tcPr>
            <w:tcW w:w="1701" w:type="dxa"/>
          </w:tcPr>
          <w:p w14:paraId="21509BB1"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39</w:t>
            </w:r>
          </w:p>
        </w:tc>
        <w:tc>
          <w:tcPr>
            <w:tcW w:w="4501" w:type="dxa"/>
          </w:tcPr>
          <w:p w14:paraId="2C71AA59"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13</w:t>
            </w:r>
          </w:p>
        </w:tc>
      </w:tr>
      <w:tr w:rsidR="00F05490" w:rsidRPr="00996810" w14:paraId="49BE58E0" w14:textId="77777777" w:rsidTr="00996810">
        <w:tc>
          <w:tcPr>
            <w:tcW w:w="1276" w:type="dxa"/>
          </w:tcPr>
          <w:p w14:paraId="77A62B2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lastRenderedPageBreak/>
              <w:t>135</w:t>
            </w:r>
          </w:p>
        </w:tc>
        <w:tc>
          <w:tcPr>
            <w:tcW w:w="1701" w:type="dxa"/>
          </w:tcPr>
          <w:p w14:paraId="3CD1BA5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4050</w:t>
            </w:r>
          </w:p>
        </w:tc>
        <w:tc>
          <w:tcPr>
            <w:tcW w:w="1701" w:type="dxa"/>
          </w:tcPr>
          <w:p w14:paraId="54E5EF7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40.5</w:t>
            </w:r>
          </w:p>
        </w:tc>
        <w:tc>
          <w:tcPr>
            <w:tcW w:w="4501" w:type="dxa"/>
          </w:tcPr>
          <w:p w14:paraId="1420CF53"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13.5</w:t>
            </w:r>
          </w:p>
        </w:tc>
      </w:tr>
      <w:tr w:rsidR="00F05490" w:rsidRPr="00996810" w14:paraId="289FFAFE" w14:textId="77777777" w:rsidTr="00996810">
        <w:tc>
          <w:tcPr>
            <w:tcW w:w="1276" w:type="dxa"/>
          </w:tcPr>
          <w:p w14:paraId="26646C48"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140</w:t>
            </w:r>
          </w:p>
        </w:tc>
        <w:tc>
          <w:tcPr>
            <w:tcW w:w="1701" w:type="dxa"/>
          </w:tcPr>
          <w:p w14:paraId="759AD700"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4200</w:t>
            </w:r>
          </w:p>
        </w:tc>
        <w:tc>
          <w:tcPr>
            <w:tcW w:w="1701" w:type="dxa"/>
          </w:tcPr>
          <w:p w14:paraId="50371AD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42</w:t>
            </w:r>
          </w:p>
        </w:tc>
        <w:tc>
          <w:tcPr>
            <w:tcW w:w="4501" w:type="dxa"/>
          </w:tcPr>
          <w:p w14:paraId="6D0D0C5B"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14</w:t>
            </w:r>
          </w:p>
        </w:tc>
      </w:tr>
      <w:tr w:rsidR="00F05490" w:rsidRPr="00996810" w14:paraId="69F7431A" w14:textId="77777777" w:rsidTr="00996810">
        <w:tc>
          <w:tcPr>
            <w:tcW w:w="1276" w:type="dxa"/>
          </w:tcPr>
          <w:p w14:paraId="1C6CA68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145</w:t>
            </w:r>
          </w:p>
        </w:tc>
        <w:tc>
          <w:tcPr>
            <w:tcW w:w="1701" w:type="dxa"/>
          </w:tcPr>
          <w:p w14:paraId="0F3D9B75"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4350</w:t>
            </w:r>
          </w:p>
        </w:tc>
        <w:tc>
          <w:tcPr>
            <w:tcW w:w="1701" w:type="dxa"/>
          </w:tcPr>
          <w:p w14:paraId="4981882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43.5</w:t>
            </w:r>
          </w:p>
        </w:tc>
        <w:tc>
          <w:tcPr>
            <w:tcW w:w="4501" w:type="dxa"/>
          </w:tcPr>
          <w:p w14:paraId="095055C6"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14.5</w:t>
            </w:r>
          </w:p>
        </w:tc>
      </w:tr>
      <w:tr w:rsidR="00F05490" w:rsidRPr="00996810" w14:paraId="67A05DFE" w14:textId="77777777" w:rsidTr="00996810">
        <w:tc>
          <w:tcPr>
            <w:tcW w:w="1276" w:type="dxa"/>
          </w:tcPr>
          <w:p w14:paraId="4DD622C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150</w:t>
            </w:r>
          </w:p>
        </w:tc>
        <w:tc>
          <w:tcPr>
            <w:tcW w:w="1701" w:type="dxa"/>
          </w:tcPr>
          <w:p w14:paraId="2B01CA98"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4500</w:t>
            </w:r>
          </w:p>
        </w:tc>
        <w:tc>
          <w:tcPr>
            <w:tcW w:w="1701" w:type="dxa"/>
          </w:tcPr>
          <w:p w14:paraId="7EC604ED"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45</w:t>
            </w:r>
          </w:p>
        </w:tc>
        <w:tc>
          <w:tcPr>
            <w:tcW w:w="4501" w:type="dxa"/>
          </w:tcPr>
          <w:p w14:paraId="0DB804E4"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15</w:t>
            </w:r>
          </w:p>
        </w:tc>
      </w:tr>
    </w:tbl>
    <w:p w14:paraId="0E42B7D6" w14:textId="77777777" w:rsidR="00857F92" w:rsidRPr="00996810" w:rsidRDefault="002541C1" w:rsidP="00857F92">
      <w:pPr>
        <w:spacing w:after="0" w:line="240" w:lineRule="auto"/>
        <w:jc w:val="both"/>
        <w:rPr>
          <w:rFonts w:ascii="Times New Roman" w:hAnsi="Times New Roman" w:cs="Times New Roman"/>
          <w:i/>
          <w:iCs/>
          <w:sz w:val="24"/>
          <w:szCs w:val="24"/>
        </w:rPr>
      </w:pPr>
      <w:r w:rsidRPr="00996810">
        <w:rPr>
          <w:rFonts w:ascii="Times New Roman" w:hAnsi="Times New Roman" w:cs="Times New Roman"/>
          <w:i/>
          <w:iCs/>
          <w:sz w:val="24"/>
          <w:szCs w:val="24"/>
          <w:lang w:val="kk"/>
        </w:rPr>
        <w:t>Артерия желісіне инъекция:</w:t>
      </w:r>
    </w:p>
    <w:p w14:paraId="30934910" w14:textId="77777777" w:rsidR="00857F92" w:rsidRPr="00996810" w:rsidRDefault="002541C1" w:rsidP="00857F92">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Гемодиализ уақытында экстракорпоральдік қанайналымда тромбтардың түзілуінің алдын алу үшін диализдік контурдың артериялық желісі арқылы енгізіледі.</w:t>
      </w:r>
    </w:p>
    <w:p w14:paraId="1D66A6C2" w14:textId="77777777" w:rsidR="00C076C2" w:rsidRPr="00996810" w:rsidRDefault="002541C1" w:rsidP="00C076C2">
      <w:pPr>
        <w:tabs>
          <w:tab w:val="left" w:pos="567"/>
        </w:tabs>
        <w:spacing w:after="0" w:line="240" w:lineRule="auto"/>
        <w:jc w:val="both"/>
        <w:rPr>
          <w:rFonts w:ascii="Times New Roman" w:eastAsia="Calibri" w:hAnsi="Times New Roman" w:cs="Times New Roman"/>
          <w:i/>
          <w:sz w:val="24"/>
          <w:szCs w:val="24"/>
          <w:u w:val="single"/>
        </w:rPr>
      </w:pPr>
      <w:r w:rsidRPr="00996810">
        <w:rPr>
          <w:rFonts w:ascii="Times New Roman" w:eastAsia="Calibri" w:hAnsi="Times New Roman" w:cs="Times New Roman"/>
          <w:i/>
          <w:sz w:val="24"/>
          <w:szCs w:val="24"/>
          <w:u w:val="single"/>
          <w:lang w:val="kk"/>
        </w:rPr>
        <w:t xml:space="preserve">Натрий эноксапаринінен пероральді антикоагулянттарға ауысу </w:t>
      </w:r>
    </w:p>
    <w:p w14:paraId="06181FF2" w14:textId="77777777" w:rsidR="008079CC" w:rsidRPr="00996810" w:rsidRDefault="002541C1" w:rsidP="00C076C2">
      <w:pPr>
        <w:tabs>
          <w:tab w:val="left" w:pos="567"/>
        </w:tabs>
        <w:spacing w:after="0" w:line="240" w:lineRule="auto"/>
        <w:jc w:val="both"/>
        <w:rPr>
          <w:rFonts w:ascii="Times New Roman" w:eastAsia="Calibri" w:hAnsi="Times New Roman" w:cs="Times New Roman"/>
          <w:i/>
          <w:sz w:val="24"/>
          <w:szCs w:val="24"/>
        </w:rPr>
      </w:pPr>
      <w:r w:rsidRPr="00996810">
        <w:rPr>
          <w:rFonts w:ascii="Times New Roman" w:eastAsia="Calibri" w:hAnsi="Times New Roman" w:cs="Times New Roman"/>
          <w:i/>
          <w:sz w:val="24"/>
          <w:szCs w:val="24"/>
          <w:lang w:val="kk"/>
        </w:rPr>
        <w:t xml:space="preserve">- Натрий эноксапаринінен К дәруменінің антагонистеріне (КДА) ауысу: </w:t>
      </w:r>
    </w:p>
    <w:p w14:paraId="668E349E" w14:textId="77777777" w:rsidR="00C076C2" w:rsidRPr="00996810" w:rsidRDefault="002541C1" w:rsidP="00C076C2">
      <w:pPr>
        <w:tabs>
          <w:tab w:val="left" w:pos="567"/>
        </w:tabs>
        <w:spacing w:after="0" w:line="240" w:lineRule="auto"/>
        <w:jc w:val="both"/>
        <w:rPr>
          <w:rFonts w:ascii="Times New Roman" w:eastAsia="Calibri" w:hAnsi="Times New Roman" w:cs="Times New Roman"/>
          <w:sz w:val="24"/>
          <w:szCs w:val="24"/>
          <w:lang w:val="kk" w:eastAsia="hu-HU"/>
        </w:rPr>
      </w:pPr>
      <w:r w:rsidRPr="00996810">
        <w:rPr>
          <w:rFonts w:ascii="Times New Roman" w:eastAsia="Calibri" w:hAnsi="Times New Roman" w:cs="Times New Roman"/>
          <w:sz w:val="24"/>
          <w:szCs w:val="24"/>
          <w:lang w:val="kk"/>
        </w:rPr>
        <w:t>КДА әсерін бақылау үшін клиникалық мониторингті және зертханалық тесттерді [Халықаралық Қалыптастыру Коэффициенті (ХҚК) ретінде көрсетілген протромбин уақыты] күшейту қажет. КДА өзінің ең жоғарғы әсеріне жеткенге дейін қандай да бір уақыт аралығы өтетіндіктен, екі бірізді тесттердегі көрсетілімдер үшін натрий эноксапаринімен емді тұрақты дозада ХҚК қажетті емдік диапазонда ұстап тұру үшін қанша қажет болса, сонша жалғастыру керек.</w:t>
      </w:r>
    </w:p>
    <w:p w14:paraId="788589F4" w14:textId="77777777" w:rsidR="00C076C2" w:rsidRPr="00996810" w:rsidRDefault="002541C1" w:rsidP="00C076C2">
      <w:pPr>
        <w:tabs>
          <w:tab w:val="left" w:pos="567"/>
        </w:tabs>
        <w:spacing w:after="0" w:line="240" w:lineRule="auto"/>
        <w:jc w:val="both"/>
        <w:rPr>
          <w:rFonts w:ascii="Times New Roman" w:eastAsia="Calibri" w:hAnsi="Times New Roman" w:cs="Times New Roman"/>
          <w:sz w:val="24"/>
          <w:szCs w:val="24"/>
          <w:lang w:val="kk" w:eastAsia="hu-HU"/>
        </w:rPr>
      </w:pPr>
      <w:r w:rsidRPr="00996810">
        <w:rPr>
          <w:rFonts w:ascii="Times New Roman" w:eastAsia="Calibri" w:hAnsi="Times New Roman" w:cs="Times New Roman"/>
          <w:sz w:val="24"/>
          <w:szCs w:val="24"/>
          <w:lang w:val="kk" w:eastAsia="hu-HU"/>
        </w:rPr>
        <w:t>Қазіргі сәтте КДА қабылдап жүрген пациенттерге КДА қабылдауды тоқтату, және натрий эноксапаринінің алғашқы дозасын ХҚК емдік диапазоннан төмен түскен кезде беру керек.</w:t>
      </w:r>
    </w:p>
    <w:p w14:paraId="360A5FCF" w14:textId="77777777" w:rsidR="00C076C2" w:rsidRPr="00996810" w:rsidRDefault="002541C1" w:rsidP="00C076C2">
      <w:pPr>
        <w:tabs>
          <w:tab w:val="left" w:pos="567"/>
        </w:tabs>
        <w:spacing w:after="0" w:line="240" w:lineRule="auto"/>
        <w:jc w:val="both"/>
        <w:rPr>
          <w:rFonts w:ascii="Times New Roman" w:eastAsia="Calibri" w:hAnsi="Times New Roman" w:cs="Times New Roman"/>
          <w:sz w:val="24"/>
          <w:szCs w:val="24"/>
          <w:lang w:val="kk" w:eastAsia="hu-HU"/>
        </w:rPr>
      </w:pPr>
      <w:r w:rsidRPr="00996810">
        <w:rPr>
          <w:rFonts w:ascii="Times New Roman" w:eastAsia="Calibri" w:hAnsi="Times New Roman" w:cs="Times New Roman"/>
          <w:sz w:val="24"/>
          <w:szCs w:val="24"/>
          <w:lang w:val="kk" w:eastAsia="hu-HU"/>
        </w:rPr>
        <w:t xml:space="preserve">- </w:t>
      </w:r>
      <w:r w:rsidRPr="00996810">
        <w:rPr>
          <w:rFonts w:ascii="Times New Roman" w:eastAsia="Calibri" w:hAnsi="Times New Roman" w:cs="Times New Roman"/>
          <w:i/>
          <w:sz w:val="24"/>
          <w:szCs w:val="24"/>
          <w:lang w:val="kk" w:eastAsia="hu-HU"/>
        </w:rPr>
        <w:t>Натрий эноксапаринінен тікелей әсер ететін пероральді антикоагулянттарға (ТӘПА) ауысу:</w:t>
      </w:r>
      <w:r w:rsidRPr="00996810">
        <w:rPr>
          <w:rFonts w:ascii="Times New Roman" w:eastAsia="Calibri" w:hAnsi="Times New Roman" w:cs="Times New Roman"/>
          <w:sz w:val="24"/>
          <w:szCs w:val="24"/>
          <w:lang w:val="kk" w:eastAsia="hu-HU"/>
        </w:rPr>
        <w:t xml:space="preserve"> қазіргі сәтте натрий эноксапаринін қабылдап жүрген пациенттерге натрий эноксапаринін қабылдауды тоқтату және натрий эноксапаринін келесі жоспарлы енгізу уақыты басталардан 0-2 сағат бұрын ТӘПА қолдану жөніндегі нұсқаулыққа сәйкес ТӘПА емін бастау керек.</w:t>
      </w:r>
    </w:p>
    <w:p w14:paraId="470A5FF1" w14:textId="77777777" w:rsidR="00C076C2" w:rsidRPr="00996810" w:rsidRDefault="002541C1" w:rsidP="00C076C2">
      <w:pPr>
        <w:tabs>
          <w:tab w:val="left" w:pos="567"/>
        </w:tabs>
        <w:spacing w:after="0" w:line="240" w:lineRule="auto"/>
        <w:jc w:val="both"/>
        <w:rPr>
          <w:rFonts w:ascii="Times New Roman" w:eastAsia="Calibri" w:hAnsi="Times New Roman" w:cs="Times New Roman"/>
          <w:sz w:val="24"/>
          <w:szCs w:val="24"/>
          <w:lang w:val="kk" w:eastAsia="hu-HU"/>
        </w:rPr>
      </w:pPr>
      <w:r w:rsidRPr="00996810">
        <w:rPr>
          <w:rFonts w:ascii="Times New Roman" w:eastAsia="Calibri" w:hAnsi="Times New Roman" w:cs="Times New Roman"/>
          <w:sz w:val="24"/>
          <w:szCs w:val="24"/>
          <w:lang w:val="kk" w:eastAsia="hu-HU"/>
        </w:rPr>
        <w:t xml:space="preserve">Қазіргі сәтте ТӘПА қабылдап жүрген пациенттерге, натрий эноксапаринінің алғашқы дозасын келесі ТӘПА дозасы қабылдануы тиіс уақытта беру керек.  </w:t>
      </w:r>
    </w:p>
    <w:p w14:paraId="740F6EEC" w14:textId="77777777" w:rsidR="001447E3" w:rsidRPr="00996810" w:rsidRDefault="002541C1" w:rsidP="00C076C2">
      <w:pPr>
        <w:tabs>
          <w:tab w:val="left" w:pos="567"/>
        </w:tabs>
        <w:spacing w:after="0" w:line="240" w:lineRule="auto"/>
        <w:jc w:val="both"/>
        <w:rPr>
          <w:rFonts w:ascii="Times New Roman" w:eastAsia="Calibri" w:hAnsi="Times New Roman" w:cs="Times New Roman"/>
          <w:i/>
          <w:iCs/>
          <w:sz w:val="24"/>
          <w:szCs w:val="24"/>
          <w:u w:val="single"/>
          <w:lang w:eastAsia="hu-HU"/>
        </w:rPr>
      </w:pPr>
      <w:r w:rsidRPr="00996810">
        <w:rPr>
          <w:rFonts w:ascii="Times New Roman" w:eastAsia="Calibri" w:hAnsi="Times New Roman" w:cs="Times New Roman"/>
          <w:i/>
          <w:iCs/>
          <w:sz w:val="24"/>
          <w:szCs w:val="24"/>
          <w:u w:val="single"/>
          <w:lang w:val="kk" w:eastAsia="hu-HU"/>
        </w:rPr>
        <w:t>Жұлын/эпидуральді анестезия немесе бел пункциясы кезінде енгізу</w:t>
      </w:r>
    </w:p>
    <w:p w14:paraId="0F1F53CA" w14:textId="77777777" w:rsidR="001447E3" w:rsidRPr="00996810" w:rsidRDefault="002541C1" w:rsidP="00C076C2">
      <w:pPr>
        <w:tabs>
          <w:tab w:val="left" w:pos="567"/>
        </w:tabs>
        <w:spacing w:after="0" w:line="240" w:lineRule="auto"/>
        <w:jc w:val="both"/>
        <w:rPr>
          <w:rFonts w:ascii="Times New Roman" w:eastAsia="Calibri" w:hAnsi="Times New Roman" w:cs="Times New Roman"/>
          <w:sz w:val="24"/>
          <w:szCs w:val="24"/>
          <w:lang w:eastAsia="hu-HU"/>
        </w:rPr>
      </w:pPr>
      <w:r w:rsidRPr="00996810">
        <w:rPr>
          <w:rFonts w:ascii="Times New Roman" w:eastAsia="Calibri" w:hAnsi="Times New Roman" w:cs="Times New Roman"/>
          <w:sz w:val="24"/>
          <w:szCs w:val="24"/>
          <w:lang w:val="kk" w:eastAsia="hu-HU"/>
        </w:rPr>
        <w:t>Егер дәрігер эпидуральді немесе жұлын анестезиясы/анальгезиясы не бел пункциясы контекстінде антикоагулянттарды тағайындау туралы шешім қабылдаса, нейроаксиальді гематомалардың пайда болу қаупіне байланысты мұқият неврологиялық мониторинг жүргізу ұсынылады (4.4-бөлімді қараңыз).</w:t>
      </w:r>
    </w:p>
    <w:p w14:paraId="3FDE3031" w14:textId="77777777" w:rsidR="001447E3" w:rsidRPr="00996810" w:rsidRDefault="002541C1" w:rsidP="001447E3">
      <w:pPr>
        <w:tabs>
          <w:tab w:val="left" w:pos="567"/>
        </w:tabs>
        <w:spacing w:after="0" w:line="240" w:lineRule="auto"/>
        <w:jc w:val="both"/>
        <w:rPr>
          <w:rFonts w:ascii="Times New Roman" w:eastAsia="Calibri" w:hAnsi="Times New Roman" w:cs="Times New Roman"/>
          <w:i/>
          <w:iCs/>
          <w:sz w:val="24"/>
          <w:szCs w:val="24"/>
          <w:lang w:eastAsia="hu-HU"/>
        </w:rPr>
      </w:pPr>
      <w:r w:rsidRPr="00996810">
        <w:rPr>
          <w:rFonts w:ascii="Times New Roman" w:eastAsia="Calibri" w:hAnsi="Times New Roman" w:cs="Times New Roman"/>
          <w:i/>
          <w:iCs/>
          <w:sz w:val="24"/>
          <w:szCs w:val="24"/>
          <w:lang w:val="kk" w:eastAsia="hu-HU"/>
        </w:rPr>
        <w:t>Профилактика үшін қолданылатын дозаларда</w:t>
      </w:r>
    </w:p>
    <w:p w14:paraId="49EBB067" w14:textId="77777777" w:rsidR="001447E3" w:rsidRPr="00996810" w:rsidRDefault="002541C1" w:rsidP="001447E3">
      <w:pPr>
        <w:tabs>
          <w:tab w:val="left" w:pos="567"/>
        </w:tabs>
        <w:spacing w:after="0" w:line="240" w:lineRule="auto"/>
        <w:jc w:val="both"/>
        <w:rPr>
          <w:rFonts w:ascii="Times New Roman" w:eastAsia="Calibri" w:hAnsi="Times New Roman" w:cs="Times New Roman"/>
          <w:sz w:val="24"/>
          <w:szCs w:val="24"/>
          <w:lang w:eastAsia="hu-HU"/>
        </w:rPr>
      </w:pPr>
      <w:r w:rsidRPr="00996810">
        <w:rPr>
          <w:rFonts w:ascii="Times New Roman" w:eastAsia="Calibri" w:hAnsi="Times New Roman" w:cs="Times New Roman"/>
          <w:sz w:val="24"/>
          <w:szCs w:val="24"/>
          <w:lang w:val="kk" w:eastAsia="hu-HU"/>
        </w:rPr>
        <w:t>• Натрий эноксапаринінің профилактикалық дозалардағы соңғы инъекциясы мен инені немесе катетерді орнату арасында кемінде 12 сағат пункциясыз аралық сақталуы керек.</w:t>
      </w:r>
    </w:p>
    <w:p w14:paraId="71DB28C5" w14:textId="77777777" w:rsidR="001447E3" w:rsidRPr="00996810" w:rsidRDefault="002541C1" w:rsidP="001447E3">
      <w:pPr>
        <w:tabs>
          <w:tab w:val="left" w:pos="567"/>
        </w:tabs>
        <w:spacing w:after="0" w:line="240" w:lineRule="auto"/>
        <w:jc w:val="both"/>
        <w:rPr>
          <w:rFonts w:ascii="Times New Roman" w:eastAsia="Calibri" w:hAnsi="Times New Roman" w:cs="Times New Roman"/>
          <w:sz w:val="24"/>
          <w:szCs w:val="24"/>
          <w:lang w:eastAsia="hu-HU"/>
        </w:rPr>
      </w:pPr>
      <w:r w:rsidRPr="00996810">
        <w:rPr>
          <w:rFonts w:ascii="Times New Roman" w:eastAsia="Calibri" w:hAnsi="Times New Roman" w:cs="Times New Roman"/>
          <w:sz w:val="24"/>
          <w:szCs w:val="24"/>
          <w:lang w:val="kk" w:eastAsia="hu-HU"/>
        </w:rPr>
        <w:t>• Үздіксіз әдістер үшін катетерді алудың алдында кемінде 12 сағат ұқсас кешіктіруді сақтау керек.</w:t>
      </w:r>
    </w:p>
    <w:p w14:paraId="7FB80719" w14:textId="77777777" w:rsidR="001447E3" w:rsidRPr="00996810" w:rsidRDefault="002541C1" w:rsidP="001447E3">
      <w:pPr>
        <w:tabs>
          <w:tab w:val="left" w:pos="567"/>
        </w:tabs>
        <w:spacing w:after="0" w:line="240" w:lineRule="auto"/>
        <w:jc w:val="both"/>
        <w:rPr>
          <w:rFonts w:ascii="Times New Roman" w:eastAsia="Calibri" w:hAnsi="Times New Roman" w:cs="Times New Roman"/>
          <w:sz w:val="24"/>
          <w:szCs w:val="24"/>
          <w:lang w:eastAsia="hu-HU"/>
        </w:rPr>
      </w:pPr>
      <w:r w:rsidRPr="00996810">
        <w:rPr>
          <w:rFonts w:ascii="Times New Roman" w:eastAsia="Calibri" w:hAnsi="Times New Roman" w:cs="Times New Roman"/>
          <w:sz w:val="24"/>
          <w:szCs w:val="24"/>
          <w:lang w:val="kk" w:eastAsia="hu-HU"/>
        </w:rPr>
        <w:t>• Креатинин клиренсі [15–30] мл/мин пациенттер үшін пункция/катетерді орнату немесе алып тастау уақытын кемінде 24 сағатқа дейін екі еселеу мүмкіндігін қарастырыңыз.</w:t>
      </w:r>
    </w:p>
    <w:p w14:paraId="51F53BE6" w14:textId="77777777" w:rsidR="001447E3" w:rsidRPr="00996810" w:rsidRDefault="002541C1" w:rsidP="001447E3">
      <w:pPr>
        <w:tabs>
          <w:tab w:val="left" w:pos="567"/>
        </w:tabs>
        <w:spacing w:after="0" w:line="240" w:lineRule="auto"/>
        <w:jc w:val="both"/>
        <w:rPr>
          <w:rFonts w:ascii="Times New Roman" w:eastAsia="Calibri" w:hAnsi="Times New Roman" w:cs="Times New Roman"/>
          <w:sz w:val="24"/>
          <w:szCs w:val="24"/>
          <w:lang w:eastAsia="hu-HU"/>
        </w:rPr>
      </w:pPr>
      <w:r w:rsidRPr="00996810">
        <w:rPr>
          <w:rFonts w:ascii="Times New Roman" w:eastAsia="Calibri" w:hAnsi="Times New Roman" w:cs="Times New Roman"/>
          <w:sz w:val="24"/>
          <w:szCs w:val="24"/>
          <w:lang w:val="kk" w:eastAsia="hu-HU"/>
        </w:rPr>
        <w:t>• 2000 ХБ (20 мг) натрий эноксапаринін екі сағаттық операция алдында қабылдауды бастау нейроаксиальді анестезиямен үйлеспейді.</w:t>
      </w:r>
    </w:p>
    <w:p w14:paraId="4807BD19" w14:textId="77777777" w:rsidR="001447E3" w:rsidRPr="00996810" w:rsidRDefault="002541C1" w:rsidP="001447E3">
      <w:pPr>
        <w:tabs>
          <w:tab w:val="left" w:pos="567"/>
        </w:tabs>
        <w:spacing w:after="0" w:line="240" w:lineRule="auto"/>
        <w:jc w:val="both"/>
        <w:rPr>
          <w:rFonts w:ascii="Times New Roman" w:eastAsia="Calibri" w:hAnsi="Times New Roman" w:cs="Times New Roman"/>
          <w:i/>
          <w:iCs/>
          <w:sz w:val="24"/>
          <w:szCs w:val="24"/>
          <w:lang w:eastAsia="hu-HU"/>
        </w:rPr>
      </w:pPr>
      <w:r w:rsidRPr="00996810">
        <w:rPr>
          <w:rFonts w:ascii="Times New Roman" w:eastAsia="Calibri" w:hAnsi="Times New Roman" w:cs="Times New Roman"/>
          <w:i/>
          <w:iCs/>
          <w:sz w:val="24"/>
          <w:szCs w:val="24"/>
          <w:lang w:val="kk" w:eastAsia="hu-HU"/>
        </w:rPr>
        <w:t>Емдеу үшін қолданылатын дозаларда</w:t>
      </w:r>
    </w:p>
    <w:p w14:paraId="6BEE3A0D" w14:textId="77777777" w:rsidR="001447E3" w:rsidRPr="00996810" w:rsidRDefault="002541C1" w:rsidP="001447E3">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Емдік дозадағы натрий эноксапаринінің соңғы инъекциясы мен инені немесе катетерді орнату арасында кемінде 24 сағат пункциясыз аралық сақталуы керек (сонымен қатар 4.3-бөлімді қараңыз).</w:t>
      </w:r>
    </w:p>
    <w:p w14:paraId="2D35F9FD" w14:textId="77777777" w:rsidR="001447E3" w:rsidRPr="00996810" w:rsidRDefault="002541C1" w:rsidP="001447E3">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 Үздіксіз әдістер кезінде катетерді алудың алдында 24 сағат ұқсас кешіктіруді сақтау керек. </w:t>
      </w:r>
    </w:p>
    <w:p w14:paraId="0AC41CBB" w14:textId="77777777" w:rsidR="001447E3" w:rsidRPr="00996810" w:rsidRDefault="002541C1" w:rsidP="001447E3">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Креатинин клиренсі [15–30] мл/мин пациенттер үшін пункция/катетерді орнату немесе алып тастау уақытын кемінде 48 сағатқа дейін екі еселеу мүмкіндігін қарастырыңыз.</w:t>
      </w:r>
    </w:p>
    <w:p w14:paraId="208EDFCB" w14:textId="77777777" w:rsidR="001447E3" w:rsidRPr="00996810" w:rsidRDefault="002541C1" w:rsidP="001447E3">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 Дозаны күніне екі рет (яғни 75 ХБ/кг (0,75 мг/кг) күніне екі рет немесе 100 ХБ/кг (1 мг/кг) күніне екі рет) қабылдайтын пациенттерге, катетерді орнату немесе алып тастау </w:t>
      </w:r>
      <w:r w:rsidRPr="00996810">
        <w:rPr>
          <w:rFonts w:ascii="Times New Roman" w:hAnsi="Times New Roman" w:cs="Times New Roman"/>
          <w:sz w:val="24"/>
          <w:szCs w:val="24"/>
          <w:lang w:val="kk"/>
        </w:rPr>
        <w:lastRenderedPageBreak/>
        <w:t>алдында жеткілікті кешіктіруді қамтамасыз ету үшін натрий эноксапариннің екінші дозасын өткізіп жіберу керек.</w:t>
      </w:r>
    </w:p>
    <w:p w14:paraId="242C2885" w14:textId="77777777" w:rsidR="001447E3" w:rsidRPr="00996810" w:rsidRDefault="002541C1" w:rsidP="001447E3">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Анти-Ха деңгейлері бұл уақыт нүктелерінде әлі де анықталады және бұл кешіктірулер нейроаксиальді гематоманың алдын алуға кепілдік бере алмайды.</w:t>
      </w:r>
    </w:p>
    <w:p w14:paraId="4D1B2B84" w14:textId="77777777" w:rsidR="00C076C2" w:rsidRPr="00996810" w:rsidRDefault="002541C1" w:rsidP="001447E3">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Натрий эноксапаринін жұлын/эпидуральді пункциядан немесе катетерді алып тастағаннан кейін ең кемі 4 сағат бойы қолданбау мүмкіндігін қарастырыңыз. Кейінге қалдыру пациент үшін қауіп факторлары мен емшара контекстінде тромбоз қаупін, сондай-ақ қан кету қаупін ескере отырып, пайда мен қауіпті бағалауға негізделуі тиіс.</w:t>
      </w:r>
    </w:p>
    <w:p w14:paraId="26613F72" w14:textId="77777777" w:rsidR="001447E3" w:rsidRPr="00996810" w:rsidRDefault="001447E3" w:rsidP="005A10DC">
      <w:pPr>
        <w:spacing w:after="0" w:line="240" w:lineRule="auto"/>
        <w:jc w:val="both"/>
        <w:rPr>
          <w:rFonts w:ascii="Times New Roman" w:hAnsi="Times New Roman" w:cs="Times New Roman"/>
          <w:sz w:val="24"/>
          <w:szCs w:val="24"/>
          <w:lang w:val="kk"/>
        </w:rPr>
      </w:pPr>
    </w:p>
    <w:p w14:paraId="7BCBBFBE" w14:textId="77777777" w:rsidR="009C166C"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4.3. Қолдануға болмайтын жағдайлар</w:t>
      </w:r>
    </w:p>
    <w:p w14:paraId="5287D93A" w14:textId="77777777" w:rsidR="002937D9" w:rsidRPr="00996810" w:rsidRDefault="002541C1" w:rsidP="002937D9">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hu-HU"/>
        </w:rPr>
      </w:pPr>
      <w:r w:rsidRPr="00996810">
        <w:rPr>
          <w:rFonts w:ascii="Times New Roman" w:eastAsia="Times New Roman" w:hAnsi="Times New Roman" w:cs="Times New Roman"/>
          <w:color w:val="000000"/>
          <w:sz w:val="24"/>
          <w:szCs w:val="24"/>
          <w:lang w:val="kk" w:eastAsia="hu-HU"/>
        </w:rPr>
        <w:t>- төмен молекулалы гепариндердің (ТМГ) басқа да түрлерін қоса, эноксапаринге, гепаринге немесе оның туындыларына немесе қосымша заттардың кез келгеніне аса жоғары сезімталдық</w:t>
      </w:r>
    </w:p>
    <w:p w14:paraId="40A573FE" w14:textId="77777777" w:rsidR="002937D9" w:rsidRPr="00996810" w:rsidRDefault="002541C1" w:rsidP="002937D9">
      <w:pPr>
        <w:autoSpaceDE w:val="0"/>
        <w:autoSpaceDN w:val="0"/>
        <w:adjustRightInd w:val="0"/>
        <w:spacing w:after="0" w:line="240" w:lineRule="auto"/>
        <w:jc w:val="both"/>
        <w:rPr>
          <w:rFonts w:ascii="Times New Roman" w:eastAsia="Times New Roman" w:hAnsi="Times New Roman" w:cs="Times New Roman"/>
          <w:strike/>
          <w:color w:val="000000"/>
          <w:sz w:val="24"/>
          <w:szCs w:val="24"/>
          <w:lang w:val="kk" w:eastAsia="hu-HU"/>
        </w:rPr>
      </w:pPr>
      <w:r w:rsidRPr="00996810">
        <w:rPr>
          <w:rFonts w:ascii="Times New Roman" w:eastAsia="Times New Roman" w:hAnsi="Times New Roman" w:cs="Times New Roman"/>
          <w:color w:val="000000"/>
          <w:sz w:val="24"/>
          <w:szCs w:val="24"/>
          <w:lang w:val="kk" w:eastAsia="hu-HU"/>
        </w:rPr>
        <w:t xml:space="preserve">- анамнезінде соңғы 100 күннің ішінде ауыр, иммунитетке байланысты гепарин индукцияланған тромбоцитопенияның (ГИТ) немесе айналымдағы антиденелердің болуы </w:t>
      </w:r>
    </w:p>
    <w:p w14:paraId="265F9CA9" w14:textId="77777777" w:rsidR="002937D9" w:rsidRPr="00996810" w:rsidRDefault="002541C1" w:rsidP="002937D9">
      <w:pPr>
        <w:tabs>
          <w:tab w:val="left" w:pos="567"/>
        </w:tabs>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белсенді, клиникалық тұрғыдан маңызды қан кетулер және қан кету қаупі жоғары аурулар:</w:t>
      </w:r>
    </w:p>
    <w:p w14:paraId="3D09BA83"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xml:space="preserve">- жуырда бастан өткерген геморрагиялық инсульт  </w:t>
      </w:r>
    </w:p>
    <w:p w14:paraId="3945197E"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xml:space="preserve">- асқазан-ішек жолының ойықжара ауруы </w:t>
      </w:r>
    </w:p>
    <w:p w14:paraId="2AEFD1D0"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xml:space="preserve">- қан кету қаупі жоғары қатерлі жаңа түзілімнің болуы, </w:t>
      </w:r>
    </w:p>
    <w:p w14:paraId="4D50E6A3" w14:textId="77777777" w:rsidR="002937D9" w:rsidRPr="00996810" w:rsidRDefault="002541C1" w:rsidP="00996810">
      <w:pPr>
        <w:spacing w:after="0" w:line="240" w:lineRule="auto"/>
        <w:ind w:left="-426"/>
        <w:jc w:val="both"/>
        <w:rPr>
          <w:rFonts w:ascii="Times New Roman" w:eastAsia="Calibri" w:hAnsi="Times New Roman" w:cs="Times New Roman"/>
          <w:sz w:val="24"/>
          <w:szCs w:val="24"/>
        </w:rPr>
      </w:pPr>
      <w:r w:rsidRPr="00996810">
        <w:rPr>
          <w:rFonts w:ascii="Times New Roman" w:eastAsia="Calibri" w:hAnsi="Times New Roman" w:cs="Times New Roman"/>
          <w:sz w:val="24"/>
          <w:szCs w:val="24"/>
          <w:lang w:val="kk"/>
        </w:rPr>
        <w:tab/>
        <w:t xml:space="preserve">- жуырда миға, омыртқаға жасалған операция немесе  </w:t>
      </w:r>
    </w:p>
    <w:p w14:paraId="33ACDF65" w14:textId="1AA43D5E"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         офтальмологиялық операция</w:t>
      </w:r>
    </w:p>
    <w:p w14:paraId="0A02F9EA"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өңеш веналарының варикозды кеңеюі (немесе оған күдіктенгенде)</w:t>
      </w:r>
    </w:p>
    <w:p w14:paraId="2F3A3FC7"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туа біткен артерия-веналық ақау</w:t>
      </w:r>
    </w:p>
    <w:p w14:paraId="68AD90DA"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қантамырлардың аневризмалары</w:t>
      </w:r>
    </w:p>
    <w:p w14:paraId="659AFA0C"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омыртқаішілік немесе миішілік ірі тамырлардың ауытқулары</w:t>
      </w:r>
    </w:p>
    <w:p w14:paraId="05778C0F" w14:textId="77777777" w:rsidR="002937D9" w:rsidRPr="00996810" w:rsidRDefault="002541C1" w:rsidP="002937D9">
      <w:pPr>
        <w:tabs>
          <w:tab w:val="left" w:pos="567"/>
        </w:tabs>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алдыңғы 24 сағаттың ішінде емдеу үшін натрий эноксапаринін қолданған кездегі жұлынға жасалған немесе эпидуральді анестезия немесе локорегионарлық анестезия</w:t>
      </w:r>
    </w:p>
    <w:p w14:paraId="5644CBED" w14:textId="77777777" w:rsidR="0031198A" w:rsidRPr="00996810" w:rsidRDefault="0031198A" w:rsidP="00760C4A">
      <w:pPr>
        <w:pStyle w:val="Text1"/>
        <w:spacing w:before="0"/>
        <w:ind w:hanging="284"/>
        <w:jc w:val="both"/>
        <w:rPr>
          <w:rFonts w:ascii="Times New Roman" w:hAnsi="Times New Roman"/>
          <w:szCs w:val="24"/>
          <w:lang w:val="kk"/>
        </w:rPr>
      </w:pPr>
    </w:p>
    <w:p w14:paraId="285030F2" w14:textId="77777777" w:rsidR="009F7D92"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4.4. Айрықша нұсқаулар және қолдану кезіндегі сақтандыру шаралары</w:t>
      </w:r>
    </w:p>
    <w:p w14:paraId="27727255" w14:textId="77777777" w:rsidR="006156E6" w:rsidRPr="00996810" w:rsidRDefault="002541C1" w:rsidP="006156E6">
      <w:pPr>
        <w:spacing w:after="0" w:line="240" w:lineRule="auto"/>
        <w:jc w:val="both"/>
        <w:rPr>
          <w:rFonts w:ascii="Times New Roman" w:eastAsia="Times New Roman" w:hAnsi="Times New Roman" w:cs="Times New Roman"/>
          <w:i/>
          <w:sz w:val="24"/>
          <w:szCs w:val="24"/>
          <w:lang w:val="kk"/>
        </w:rPr>
      </w:pPr>
      <w:r w:rsidRPr="00996810">
        <w:rPr>
          <w:rFonts w:ascii="Times New Roman" w:eastAsia="Times New Roman" w:hAnsi="Times New Roman" w:cs="Times New Roman"/>
          <w:i/>
          <w:sz w:val="24"/>
          <w:szCs w:val="24"/>
          <w:lang w:val="kk"/>
        </w:rPr>
        <w:t>Жалпы ақпарат</w:t>
      </w:r>
    </w:p>
    <w:p w14:paraId="6C98E61E"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Натрий эноксапаринін басқа төмен молекулалы гепариндермен өзара алмастыру ретінде (бірлігін бірлікке) пайдалануға тыйым салынады. Бұл дәрілік препараттардың өндіру үдерісі, молекулалық салмағы, спецификалық анти-Ха белсенділігі және анти-IIa белсенділігі, дозалау бірліктері, дозалау режимі және клиникалық тиімілігі мен қауіпсіздігі бойынша айырмашылықтары бар. Бұл олардың фармакокинетикасындағы және биологиялық белсенділіктеріндегі (антитромбиндік белсенділік және тромбоциттермен өзара әрекеттесу) айырмашылықтарға алып келеді. Сондықтан  ерекше көңіл бөлу және әрбір дәрілік препарат үшін спецификалы қолдану жөніндегі нұсқаулықтарды сақтау қажет.  </w:t>
      </w:r>
    </w:p>
    <w:p w14:paraId="40C0F26D"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rPr>
      </w:pPr>
      <w:r w:rsidRPr="00996810">
        <w:rPr>
          <w:rFonts w:ascii="Times New Roman" w:eastAsia="Times New Roman" w:hAnsi="Times New Roman" w:cs="Times New Roman"/>
          <w:sz w:val="24"/>
          <w:szCs w:val="24"/>
          <w:u w:val="single"/>
          <w:lang w:val="kk"/>
        </w:rPr>
        <w:t>Анамнездегі гепарин индукциялаған тромбоцитопения (&gt;100 күн)</w:t>
      </w:r>
    </w:p>
    <w:p w14:paraId="45211E3B"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Натрий эноксапаринін анамнезінде соңғы 100 күннің ішінде иммунитетке байланысты гепарин индукциялаған тромбоцитопениясы бар пациенттерде немесе айналымдағы антиденелер бар болғанда қолдануға болмайды. Айналымдағы антиденелер бірнеше жыл бойы сақталуы мүмкін.</w:t>
      </w:r>
    </w:p>
    <w:p w14:paraId="2291A716"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bCs/>
          <w:sz w:val="24"/>
          <w:szCs w:val="24"/>
          <w:lang w:val="kk"/>
        </w:rPr>
        <w:t>Натрий эноксапаринін анамнезінде айналымдағы антиденелерсіз гепарин индукциялаған тромбоцитопения (&gt;100 күн) туралы мәліметтер бар пациенттерде ерекше сақтықпен қолдану керек. Мұндай жағдайда натрий эноксапаринін қолдану туралы шешім пайда мен қауіп арақатынасына мұқият баға бергеннен кейін және баламалы гепариндік емес емді (мысалы, натрий данапароидын немесе лепирудинді) қолдану мүмкіндігін қарастырғаннан кейін ғана қабылдануы тиіс.</w:t>
      </w:r>
    </w:p>
    <w:p w14:paraId="48C3AED0"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lastRenderedPageBreak/>
        <w:t>Тромбоциттер санын бақылау</w:t>
      </w:r>
    </w:p>
    <w:p w14:paraId="161647C4"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Төмен молекулалы гепариндерді енгізген кезде антиденеге байланысты гепарин индукциялаған тромбоцитопенияның да қаупі бар. Әдетте, тромбоцитопения натрий эноксапаринімен емдеуді бастағаннан кейін 5-ші және 21-ші күндер аралығындағы кезеңде пайда болады. </w:t>
      </w:r>
    </w:p>
    <w:p w14:paraId="6FCBFAC0"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bCs/>
          <w:sz w:val="24"/>
          <w:szCs w:val="24"/>
          <w:lang w:val="kk"/>
        </w:rPr>
        <w:t>Гепарин индукциялаған тромбоцитопения қаупі  операциядан кейінгі, көбінесе жүрекке операция жасалғаннан кейінгі пациенттерде және қатерлі жаңа түзілімі бар пациенттерде жоғары.</w:t>
      </w:r>
    </w:p>
    <w:p w14:paraId="7F5F7BB3"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Сондықтан, тромбоциттер санын натрий эноксапаринімен емді бастағанға дейін және әрі қарай емдеу кезінде тұрақты түрде өлшеп отырған жөн.</w:t>
      </w:r>
    </w:p>
    <w:p w14:paraId="0D198E39"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Гепарин индукциялаған тромбоцитопенияны білдіретін клиникалық симптомдар (артериялық және/немесе веналық тромбоэмболияның кез келген жаңа көрінісі, енгізген жердегі терінің кез келген ауыртатын зақымдануы, емдеуге кез келген аллергиялық немесе анафилаксиялық реакциялар) бар болса, тромбоциттер санын өлшеу қажет. Пациенттерді бұл симптомдардың пайда болуы мүмкін екенінен, және егер олар пайда болса, пациенттер мұны өздерінің емдеуші дәрігерлеріне  хабарлауы тиіс екенінен хабардар ету қажет.</w:t>
      </w:r>
    </w:p>
    <w:p w14:paraId="2871CE7D"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Практикада, егер тромбоциттер санының дәлелденген елеулі төмендеуі (бастапқы мәнінен 30-50 %) орын алса, натрий эноксапаринімен емдеуді дереу тоқтату және пациентті басқа баламалы  гепариндік емес антикоагулянттармен емге ауыстыру керек.</w:t>
      </w:r>
    </w:p>
    <w:p w14:paraId="310B6A93"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Қан кету</w:t>
      </w:r>
    </w:p>
    <w:p w14:paraId="1E046917" w14:textId="77777777" w:rsidR="006156E6" w:rsidRPr="00996810" w:rsidRDefault="002541C1" w:rsidP="006156E6">
      <w:pPr>
        <w:spacing w:after="0" w:line="240" w:lineRule="auto"/>
        <w:jc w:val="both"/>
        <w:rPr>
          <w:rFonts w:ascii="Times New Roman" w:eastAsia="Times New Roman" w:hAnsi="Times New Roman" w:cs="Times New Roman"/>
          <w:bCs/>
          <w:sz w:val="24"/>
          <w:szCs w:val="24"/>
          <w:lang w:val="kk"/>
        </w:rPr>
      </w:pPr>
      <w:r w:rsidRPr="00996810">
        <w:rPr>
          <w:rFonts w:ascii="Times New Roman" w:eastAsia="Times New Roman" w:hAnsi="Times New Roman" w:cs="Times New Roman"/>
          <w:bCs/>
          <w:sz w:val="24"/>
          <w:szCs w:val="24"/>
          <w:lang w:val="kk"/>
        </w:rPr>
        <w:t>Басқа да антикоагулянттарды қолданған кездегідей, кез келген жерден қан кетудің дамуы мүмкін. Қан кету дамығанда оның көзін табу және тиісті ем жүргізу қажет.</w:t>
      </w:r>
    </w:p>
    <w:p w14:paraId="2A40491C"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bCs/>
          <w:sz w:val="24"/>
          <w:szCs w:val="24"/>
          <w:lang w:val="kk"/>
        </w:rPr>
        <w:t>Кез келген антикоагулянттық емдегі сияқты, натрий эноксапаринін қан кету ықтималдығы жоғары болатын мынадай жай-күйлерде сақтықпен қолдану керек:</w:t>
      </w:r>
    </w:p>
    <w:p w14:paraId="7F418206" w14:textId="77777777" w:rsidR="00B85801" w:rsidRPr="00996810" w:rsidRDefault="002541C1" w:rsidP="00996810">
      <w:pPr>
        <w:spacing w:after="0" w:line="240" w:lineRule="auto"/>
        <w:ind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 гемостаздың бұзылуы</w:t>
      </w:r>
    </w:p>
    <w:p w14:paraId="0F260BA1"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анамнездегі пептидтік ойықжара</w:t>
      </w:r>
    </w:p>
    <w:p w14:paraId="4198E53F"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жуырда бастан өткерген ишемиялық инсульт</w:t>
      </w:r>
    </w:p>
    <w:p w14:paraId="219F7FD9"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ауыр артериялық гипертензия</w:t>
      </w:r>
    </w:p>
    <w:p w14:paraId="7EF87920"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жақында бастан өткерген диабеттік ретинопатия</w:t>
      </w:r>
    </w:p>
    <w:p w14:paraId="1D4BC3E7"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неврологиялық немесе офтальмологиялық операция</w:t>
      </w:r>
    </w:p>
    <w:p w14:paraId="7EA73162"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u w:val="single"/>
        </w:rPr>
      </w:pPr>
      <w:r w:rsidRPr="00996810">
        <w:rPr>
          <w:rFonts w:ascii="Times New Roman" w:eastAsia="Times New Roman" w:hAnsi="Times New Roman" w:cs="Times New Roman"/>
          <w:sz w:val="24"/>
          <w:szCs w:val="24"/>
          <w:lang w:val="kk"/>
        </w:rPr>
        <w:t>гемостаз жүйесіне әсер ететін препараттарды бір мезгілде қабылдау</w:t>
      </w:r>
    </w:p>
    <w:p w14:paraId="6F1E6CD7"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rPr>
      </w:pPr>
      <w:r w:rsidRPr="00996810">
        <w:rPr>
          <w:rFonts w:ascii="Times New Roman" w:eastAsia="Times New Roman" w:hAnsi="Times New Roman" w:cs="Times New Roman"/>
          <w:sz w:val="24"/>
          <w:szCs w:val="24"/>
          <w:u w:val="single"/>
          <w:lang w:val="kk"/>
        </w:rPr>
        <w:t>Зертханалық тесттер</w:t>
      </w:r>
    </w:p>
    <w:p w14:paraId="7D427833" w14:textId="77777777" w:rsidR="006156E6" w:rsidRPr="00996810" w:rsidRDefault="002541C1" w:rsidP="006156E6">
      <w:pPr>
        <w:spacing w:after="0" w:line="240" w:lineRule="auto"/>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Веналық тромбоэмболияның профилактикасы үшін қолданылатын дозаларда, натрий эноксапарині қан кету уақытына және  қан ұюының жалпы көрсеткіштеріне, сондай-ақ тромбоциттер агрегациясына немесе олардың  фибриногенмен байланысуына елеулі ықпал етпейді. </w:t>
      </w:r>
    </w:p>
    <w:p w14:paraId="7A0A45B8"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Дозаны арттырғанда ішінара белсенділенген тромбопластин уақыты (ІБТУ) және қан ұюының белсенділенген уақыты (ҚҰБУ) ұзаруы мүмкін. ІБТУ және ҚҰБУ жоғарылауы  натрий эноксапаринінің тромбозға қарсы белсенділігінің ұлғаюына тікелей дозаға тәуелділікте емес, сондықтан оларға мониторингтің қажеті жоқ.  </w:t>
      </w:r>
    </w:p>
    <w:p w14:paraId="77219429"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rPr>
      </w:pPr>
      <w:r w:rsidRPr="00996810">
        <w:rPr>
          <w:rFonts w:ascii="Times New Roman" w:eastAsia="Times New Roman" w:hAnsi="Times New Roman" w:cs="Times New Roman"/>
          <w:sz w:val="24"/>
          <w:szCs w:val="24"/>
          <w:u w:val="single"/>
          <w:lang w:val="kk"/>
        </w:rPr>
        <w:t>Жұлынға жасалатын /Эпидуральді анестезия немесе бел пункциясы</w:t>
      </w:r>
    </w:p>
    <w:p w14:paraId="5E3DCD86" w14:textId="77777777" w:rsidR="006156E6" w:rsidRPr="00996810" w:rsidRDefault="002541C1" w:rsidP="006156E6">
      <w:pPr>
        <w:spacing w:after="0" w:line="240" w:lineRule="auto"/>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Натрий эноксапаринінің емдік дозаларын енгізгеннен кейін 24 сағаттың ішінде жұлынға жасалатын/эпидуральді анестезияны және бел пункциясын жүргізуге болмайды.</w:t>
      </w:r>
    </w:p>
    <w:p w14:paraId="0402656D"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Натрий эноксапаринін жұлынға жасалатын/эпидуральді анестезияны және жұлынға жасалатын  пункцияны жүргізу кезінде қолданғанда нейроаксиальді гематомалар жағдайлары туралы хабарланды, бұл тұрақты немесе қайтымсыз салданудың дамуына әкеледі. Мұндай құбылыстардың даму қаупі натрий эноксапаринін тәулігіне бір рет  4 000 ХБ (40 мг) немесе одан төмен дозаларда қолданғанда төмендейді. Операциядан кейін ішке енетін эпидуральді катетерлерді пайдаланған кезде, гемостазға әсер ететін қосымша препараттарды (мысалы, қабынуға қарсы стероидты емес </w:t>
      </w:r>
      <w:r w:rsidRPr="00996810">
        <w:rPr>
          <w:rFonts w:ascii="Times New Roman" w:eastAsia="Times New Roman" w:hAnsi="Times New Roman" w:cs="Times New Roman"/>
          <w:sz w:val="24"/>
          <w:szCs w:val="24"/>
          <w:lang w:val="kk"/>
        </w:rPr>
        <w:lastRenderedPageBreak/>
        <w:t xml:space="preserve">препараттарды) бір мезгілде қолданғанда, жарақаттық немесе қайталанған эпидуральді немесе жұлын пункциясында, сондай-ақ омыртқаға операция жасатқан немесе омыртқаның деформациясы бар пациенттерде қауіп жоғарылайды.  </w:t>
      </w:r>
    </w:p>
    <w:p w14:paraId="6AF9AE9B"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Натрий эноксапаринін қолданумен және бір мезгілде эпидуральді немесе жұлынға жасалатын анестезияны/анальгезияны немесе бел пункциясын жүргізумен байланысты ықтимал қан кету қаупін азайту үшін, натрий эноксапаринінің  фармакокинетикалық бейінін ескеру қажет. Эпидуральді катетерді (немесе бел пункциясын) орнатуды немесе алып тастауды натрий эноксапаринінің  төмен антикоагулянттық әсерінде жүргізген жақсы; алайда, әрбір пациенттің жеткілікті мөлшердегі төмен антикоагулянттық әсерге жетуінің дәл уақыты белгісіз. Креатинин клиренсі 15-</w:t>
      </w:r>
      <w:r w:rsidRPr="00996810">
        <w:rPr>
          <w:rFonts w:ascii="Times New Roman" w:eastAsia="Times New Roman" w:hAnsi="Times New Roman" w:cs="Times New Roman"/>
          <w:sz w:val="24"/>
          <w:szCs w:val="24"/>
          <w:lang w:val="kk"/>
        </w:rPr>
        <w:softHyphen/>
        <w:t>30 мл/минут болатын пациенттер үшін қосымша шаралар қабылдау қажет, өйткені натрий эноксапаринінің шығарылуы оларда ұзағырақ жүреді.</w:t>
      </w:r>
    </w:p>
    <w:p w14:paraId="07AC705D"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Егер эпидуральді немесе жұлынға жасалатын анестезия/анальгезия немесе бел пункциясын жүргізу кезінде дәрігердің тағайындауы бойынша антикоагулянттық ем қолданылса, төмендегідей кез келген неврологиялық симптомдарды анықтау үшін пациентке ерекше мұқият әрі тұрақты бақылау қажет: белдің ауыруы, сенсорлық және моторлық функциялардың бұзылуы (аяқтардың ұйып қалуы немесе әлсіздігі), ішектің және/немесе қуықтың функциясы бұзылуы. Пациентке жоғарыда сипатталған симптомдардың кез келгені пайда болғанда дереу дәрігерге хабарлау қажеттілігі туралы түсіндіру қажет. Жұлын гематомасына тән симптомдарға күдіктенгенде, қажет болған жағдайда жұлын декомпрессиясын қоса, шұғыл диагностика және емдеу қажет, дегенмен мұндай емдеу неврологиялық асқынулардың алдын алмауы немесе баса алмауы да мүмкін.</w:t>
      </w:r>
    </w:p>
    <w:p w14:paraId="7D5F6398"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Тері некрозы/тері васкулиті</w:t>
      </w:r>
    </w:p>
    <w:p w14:paraId="4F7CA6D1"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Төмен молекулалы гепариндерді қолданған кезде тері некрозы және тері васкулиті жағдайлары туралы хабарланды. Мұндай жағдайда емдеуді  дереу тоқтату қажет.</w:t>
      </w:r>
    </w:p>
    <w:p w14:paraId="7C188FA4" w14:textId="77777777" w:rsidR="006156E6" w:rsidRPr="00996810" w:rsidRDefault="002541C1" w:rsidP="006156E6">
      <w:pPr>
        <w:spacing w:after="0" w:line="240" w:lineRule="auto"/>
        <w:jc w:val="both"/>
        <w:rPr>
          <w:rFonts w:ascii="Times New Roman" w:eastAsia="Times New Roman" w:hAnsi="Times New Roman" w:cs="Times New Roman"/>
          <w:b/>
          <w:sz w:val="24"/>
          <w:szCs w:val="24"/>
          <w:u w:val="single"/>
          <w:lang w:val="kk"/>
        </w:rPr>
      </w:pPr>
      <w:r w:rsidRPr="00996810">
        <w:rPr>
          <w:rFonts w:ascii="Times New Roman" w:eastAsia="Times New Roman" w:hAnsi="Times New Roman" w:cs="Times New Roman"/>
          <w:sz w:val="24"/>
          <w:szCs w:val="24"/>
          <w:u w:val="single"/>
          <w:lang w:val="kk"/>
        </w:rPr>
        <w:t xml:space="preserve">Тері арқылы коронарлық реваскуляризация </w:t>
      </w:r>
      <w:r w:rsidRPr="00996810">
        <w:rPr>
          <w:rFonts w:ascii="Times New Roman" w:eastAsia="Times New Roman" w:hAnsi="Times New Roman" w:cs="Times New Roman"/>
          <w:i/>
          <w:sz w:val="24"/>
          <w:szCs w:val="24"/>
          <w:lang w:val="kk"/>
        </w:rPr>
        <w:t>(ТКР)</w:t>
      </w:r>
      <w:r w:rsidRPr="00996810">
        <w:rPr>
          <w:rFonts w:ascii="Times New Roman" w:eastAsia="Times New Roman" w:hAnsi="Times New Roman" w:cs="Times New Roman"/>
          <w:sz w:val="24"/>
          <w:szCs w:val="24"/>
          <w:u w:val="single"/>
          <w:lang w:val="kk"/>
        </w:rPr>
        <w:t xml:space="preserve"> емшаралары</w:t>
      </w:r>
    </w:p>
    <w:p w14:paraId="554B801C"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Тұрақсыз стенокардия, Q тісінсіз миокард инфарктісі және ST сегментінің көтерілуімен жедел миокард инфарктісін емдеу кезінде тері арқылы коронарлық араласудан кейін қан кету қаупін азайту үшін натрий эноксапарині дозаларының арасында ұсынылатын аралықтарды қатаң сақтау ұсынылады. ТКР-дан кейін пункция орнында болатын гемостазға жету маңызды. Қорғағыш құрылғы қолданылған жағдайда катетерді дереу алып тастауға болады. Қолмен компрестеу әдісі қолданылған жағдайда катетер натрий эноксапаринінің соңғы теріастылық/вена ішілік инъекциясынан кейін 6 сағаттан соң алып тасталуы тиіс.  Егер ем жалғасса, келесі дозалау режимі катетерді алып тастағаннан кейін 6-8 сағат өткен соң барып тағайындалуы тиіс. Катетер енгізілген жерде қан кету немесе гематома түзілу белгілерінің бар-жоғын бағалау керек. </w:t>
      </w:r>
    </w:p>
    <w:p w14:paraId="4C7EA3FD"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Жедел инфекциялық эндокардит</w:t>
      </w:r>
    </w:p>
    <w:p w14:paraId="3165F761" w14:textId="77777777" w:rsidR="006156E6" w:rsidRPr="00996810" w:rsidRDefault="002541C1" w:rsidP="006156E6">
      <w:pPr>
        <w:spacing w:after="0" w:line="240" w:lineRule="auto"/>
        <w:jc w:val="both"/>
        <w:rPr>
          <w:rFonts w:ascii="Times New Roman" w:eastAsia="Times New Roman" w:hAnsi="Times New Roman" w:cs="Times New Roman"/>
          <w:bCs/>
          <w:sz w:val="24"/>
          <w:szCs w:val="24"/>
          <w:lang w:val="kk"/>
        </w:rPr>
      </w:pPr>
      <w:r w:rsidRPr="00996810">
        <w:rPr>
          <w:rFonts w:ascii="Times New Roman" w:eastAsia="Times New Roman" w:hAnsi="Times New Roman" w:cs="Times New Roman"/>
          <w:bCs/>
          <w:sz w:val="24"/>
          <w:szCs w:val="24"/>
          <w:lang w:val="kk"/>
        </w:rPr>
        <w:t>Гепаринді қолдану миға қан құйылу қаупіне байланысты әдетте жедел инфекциялық эндокардиті бар пациенттерге ұсынылмайды. Егер бұлай қолдану сөзсіз қажет деп саналса, пайдасы мен қаупінің арақатынасына мұқият баға бергеннен кейін ғана шешім қабылдануы тиіс.</w:t>
      </w:r>
    </w:p>
    <w:p w14:paraId="2FD00F3E"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Жүректің механикалық жасанды клапандары</w:t>
      </w:r>
    </w:p>
    <w:p w14:paraId="5BE5908B" w14:textId="77777777" w:rsidR="006156E6" w:rsidRPr="00996810" w:rsidRDefault="002541C1" w:rsidP="006156E6">
      <w:pPr>
        <w:spacing w:after="0" w:line="240" w:lineRule="auto"/>
        <w:jc w:val="both"/>
        <w:rPr>
          <w:rFonts w:ascii="Times New Roman" w:eastAsia="Times New Roman" w:hAnsi="Times New Roman" w:cs="Times New Roman"/>
          <w:bCs/>
          <w:sz w:val="24"/>
          <w:szCs w:val="24"/>
          <w:lang w:val="kk"/>
        </w:rPr>
      </w:pPr>
      <w:r w:rsidRPr="00996810">
        <w:rPr>
          <w:rFonts w:ascii="Times New Roman" w:eastAsia="Times New Roman" w:hAnsi="Times New Roman" w:cs="Times New Roman"/>
          <w:bCs/>
          <w:sz w:val="24"/>
          <w:szCs w:val="24"/>
          <w:lang w:val="kk"/>
        </w:rPr>
        <w:t>Натрий эноксапаринін жүректің механикалық жасанды клапандары бар пациенттерде тромб түзілуінің профилактикасы үшін қолдану жеткілікті зерттелмеген. Жүректің механикалық жасанды клапандары бар пациенттерде  тромб түзілуінің профилактикасы үшін натрий эноксапаринімен ем аясында жүректің жасанды клапандарының тромбозы дамуының бірлі-жарым жағдайлары тіркелген. Жүректің жасанды клапандарында тромбоз дамуына жағдай жасайтын, негізгі ауруды қоса, шатастырарлық факторлар бар болғандықтан, клиникалық деректер жеткіліксіз болғандықтан, бұл хабарламаларға баға беру шектеулі. Бұл жағдайлардың кейбіреулері жүкті әйелдерде болған, оларда тромбоз ананың және шарананың өліміне алып келді.</w:t>
      </w:r>
    </w:p>
    <w:p w14:paraId="10E7083B"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bCs/>
          <w:sz w:val="24"/>
          <w:szCs w:val="24"/>
          <w:u w:val="single"/>
          <w:lang w:val="kk"/>
        </w:rPr>
        <w:lastRenderedPageBreak/>
        <w:t>Жүректің механикалық жасанды клапандары бар жүкті әйелдер</w:t>
      </w:r>
    </w:p>
    <w:p w14:paraId="0A3369D9" w14:textId="77777777" w:rsidR="00E918C5" w:rsidRPr="00996810" w:rsidRDefault="002541C1" w:rsidP="006156E6">
      <w:pPr>
        <w:spacing w:after="0" w:line="240" w:lineRule="auto"/>
        <w:jc w:val="both"/>
        <w:rPr>
          <w:rFonts w:ascii="Times New Roman" w:eastAsia="Times New Roman" w:hAnsi="Times New Roman" w:cs="Times New Roman"/>
          <w:bCs/>
          <w:sz w:val="24"/>
          <w:szCs w:val="24"/>
          <w:lang w:val="kk"/>
        </w:rPr>
      </w:pPr>
      <w:r w:rsidRPr="00996810">
        <w:rPr>
          <w:rFonts w:ascii="Times New Roman" w:eastAsia="Times New Roman" w:hAnsi="Times New Roman" w:cs="Times New Roman"/>
          <w:bCs/>
          <w:sz w:val="24"/>
          <w:szCs w:val="24"/>
          <w:lang w:val="kk"/>
        </w:rPr>
        <w:t>Жүрек клапандарының механикалық протездері бар жүкті әйелдерде тромбоздардың профилактикасы үшін натрий эноксапаринін  қолдану жеткілікті зерттелмеген. Тромбоэмболия қаупін азайту үшін натрий эноксапаринін тағайындалған (күніне екі рет 100 ХБ/кг (1 мг/кг)) , жүрек клапандарының механикалық протездері бар жүкті әйелдерге жүргізілген клиникалық зерттеуде 8 әйелдің 2-інде тромбтар түзілді, бұл жүрек клапандарының бітелуіне және анасы мен шарананың өліміне әкелді. Тромбоздың профилактикасы үшін натрий эноксапаринін қабылдаған жүрек клапандарының механикалық протездері бар жүкті әйелдерде клапандардың тромбозы туралы тіркеуден кейінгі жекелеген хабарламалар болды. Жүрек клапандарының механикалық протездері бар жүкті әйелдер тромбоэмболияның жоғары қаупіне бейім болады.</w:t>
      </w:r>
    </w:p>
    <w:p w14:paraId="717055F6"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Егде жастағы пациенттер</w:t>
      </w:r>
    </w:p>
    <w:p w14:paraId="7D9EBE0B"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Препаратты егде жастағы пациенттерде профилактикалық дозаларда қолданғанда қанағыштықтың ұлғаю үрдісі анықталған жоқ. Препаратты егде жастағы пациенттерде (әсіресе 80 жастағы және одан асқан пациенттерде) емдік дозаларда қолданғанда қан кету дамуының жоғары қаупі бар.  75 жастан асқан, ST сегментінің көтерілуімен миокард инфарктісінен емделіп жүрген пациенттерде мұқият бақылау жүргізу және дозасын азайту мүмкіндігін қарастыру ұсынылады (4.2 және 5.2-бөлімді қараңыз). </w:t>
      </w:r>
    </w:p>
    <w:p w14:paraId="4DED999E"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Бүйрек функциясының бұзылуы</w:t>
      </w:r>
    </w:p>
    <w:p w14:paraId="2F2B1259"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Бүйрек функциясы бұзылған пациенттерде натрий эноксапаринінің жүйелі экспозициясының ұлғаюы нәтижесінде қан кетудің даму қаупі бар. Мұндай  пациенттерде мұқият бақылау жүргізу және анти-Ха белсенділікті өлшеу жолымен биологиялық мониторинг ұсынылады (4.2 және 5.2-бөлімді қараңыз).</w:t>
      </w:r>
    </w:p>
    <w:p w14:paraId="226BB2E8"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Натрий эноксапарині бүйрек ауруының  терминальді сатысындағы (креатинин клиренсі &lt;15 мл/мин) пациенттерге, гемодиализ жүргізгенде қанайналымның экстракорпоральді шеңберінде тромб түзілуінің профилактикасынан өзге, популяция туралы деректер жоқ болуына байланысты, ұсынылмайды.</w:t>
      </w:r>
    </w:p>
    <w:p w14:paraId="18BB2834"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Бүйрек функциясы ауыр бұзылған пациенттерде (креатинин клиренсі 15-30 мл/мин) препаратты  профилактикалық та, емдік те қолдану кезінде дозаға түзету жүргізген жөн, өйткені натрий эноксапаринінің экспозициясы едәуір ұлғаяды (4.2-бөлімді қараңыз). </w:t>
      </w:r>
    </w:p>
    <w:p w14:paraId="5F021606"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Бүйрек функциясының орташа (креатинин клиренсі 30-50 мл/мин) және жеңіл (креатинин клиренсі 50-80 мл/мин) бұзылуы бар пациенттерде  дозаға түзету жүргізу қажет емес.</w:t>
      </w:r>
    </w:p>
    <w:p w14:paraId="6E13DACA"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Бауыр функциясының бұзылуы</w:t>
      </w:r>
    </w:p>
    <w:p w14:paraId="0ABD65D5"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Қан кету ықтималдығына байланысты, натрий эноксапаринін бауыр функциясының бұзылуы бар пациенттерде  сақтықпен қолдану керек. Анти-Xa белсенділігінің деңгейіне мониторинг негізінде дозаны түзету бауыр циррозы бар пациенттерде сенімсіз болып табылады және ұсынылмайды (5.2-бөлімді қараңыз). </w:t>
      </w:r>
    </w:p>
    <w:p w14:paraId="1EF845F7"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Дене салмағының аздығы</w:t>
      </w:r>
    </w:p>
    <w:p w14:paraId="35A0E74D"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Профилактикалық (дене салмағын ескеріп түзетілмеген) дозалардағы натрий эноксапарині экспозициясының ұлғаюы дене салмағы төмен әйелдерде (45 кг-ден аз) және дене салмағы төмен еркектерде (57 кг-ден аз) қан кетудің дамуының жоғары қаупіне әкелуі мүмкін. Мұндай пациенттердің жай-күйіне мұқият бақылау жүргізу ұсынылады.</w:t>
      </w:r>
    </w:p>
    <w:p w14:paraId="78D65541"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Семіздікке шалдыққан пациенттер</w:t>
      </w:r>
    </w:p>
    <w:p w14:paraId="5191881D"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Семіздіктен зардап шегіп жүрген пациенттер тромбоэмболияның даму қаупі жоғары топқа жатады. Семіздіктен зардап шегіп жүрген (ДСИ 30 кг/м</w:t>
      </w:r>
      <w:r w:rsidRPr="00996810">
        <w:rPr>
          <w:rFonts w:ascii="Times New Roman" w:eastAsia="Times New Roman" w:hAnsi="Times New Roman" w:cs="Times New Roman"/>
          <w:sz w:val="24"/>
          <w:szCs w:val="24"/>
          <w:vertAlign w:val="superscript"/>
          <w:lang w:val="kk"/>
        </w:rPr>
        <w:t>²</w:t>
      </w:r>
      <w:r w:rsidRPr="00996810">
        <w:rPr>
          <w:rFonts w:ascii="Times New Roman" w:eastAsia="Times New Roman" w:hAnsi="Times New Roman" w:cs="Times New Roman"/>
          <w:sz w:val="24"/>
          <w:szCs w:val="24"/>
          <w:lang w:val="kk"/>
        </w:rPr>
        <w:t xml:space="preserve"> астам) пациенттерде эноксапаринді профилактикалық дозаларда қолданудың  қауіпсіздігі мен тиімділігі  толық анықталмаған және дозасын түзету жөнінде ортақ пікір жоқ. Бұл </w:t>
      </w:r>
      <w:r w:rsidRPr="00996810">
        <w:rPr>
          <w:rFonts w:ascii="Times New Roman" w:eastAsia="Times New Roman" w:hAnsi="Times New Roman" w:cs="Times New Roman"/>
          <w:sz w:val="24"/>
          <w:szCs w:val="24"/>
          <w:lang w:val="kk"/>
        </w:rPr>
        <w:lastRenderedPageBreak/>
        <w:t xml:space="preserve">пациенттерді тромбоэмболия  симптомдары мен белгілерінің дамуына қатысты мұқият бақылау қажет.  </w:t>
      </w:r>
    </w:p>
    <w:p w14:paraId="571F90C8"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 xml:space="preserve">Гиперкалиемия </w:t>
      </w:r>
    </w:p>
    <w:p w14:paraId="71023719"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Гепариндер бүйрекүсті бездері қыртысының альдостерон гормоны секрециясын басуы мүмкін, бұл гиперкалиемияға әкеліп соғады (4.8-бөлімді қараңыз)., атап айтқанда қантты диабеті, бүйректің созылмалы жеткіліксіздігі бар, бұрын метаболизмдік ацидозы болған, калий деңгейін арттыратын дәрілік препараттарды қабылдайтын пациенттерде (4.5-бөлімді қараңыз).  Плазмадағы калийді, әсіресе қауіп тобындағы пациенттерде, ұдайы тексеру керек.</w:t>
      </w:r>
    </w:p>
    <w:p w14:paraId="7D08B03E"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 xml:space="preserve">Қадағалануы </w:t>
      </w:r>
    </w:p>
    <w:p w14:paraId="515E2598"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Төмен молекулалы гепариндер – бұлар биологиялық дәрілік препараттар. Төмен молекулалы гепариндердің қадағалануын жақсарту үшін медицина қызметкерлеріне пациенттің картасына енгізілген препараттың саудалық атауын және партия нөмірін жазып қою ұсынылады.</w:t>
      </w:r>
    </w:p>
    <w:p w14:paraId="23D527CA"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Бөлу шкаласы</w:t>
      </w:r>
    </w:p>
    <w:p w14:paraId="4364359E"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Катенокс препаратының алдын ала толтырылған шприцтерінде,  инъекцияға арналған  2000 анти-Ха ХБ/0.2 мл, 4000 анти-Ха ХБ/0.,4 мл ерітінді, бөлу шкаласы жоқ.</w:t>
      </w:r>
    </w:p>
    <w:p w14:paraId="7669C1F1" w14:textId="77777777" w:rsidR="0070705D" w:rsidRPr="00996810" w:rsidRDefault="002541C1" w:rsidP="0070705D">
      <w:pPr>
        <w:spacing w:after="0" w:line="240" w:lineRule="auto"/>
        <w:jc w:val="both"/>
        <w:rPr>
          <w:rFonts w:ascii="Times New Roman" w:eastAsia="Times New Roman" w:hAnsi="Times New Roman" w:cs="Times New Roman"/>
          <w:i/>
          <w:iCs/>
          <w:sz w:val="24"/>
          <w:szCs w:val="24"/>
          <w:lang w:val="kk"/>
        </w:rPr>
      </w:pPr>
      <w:r w:rsidRPr="00996810">
        <w:rPr>
          <w:rFonts w:ascii="Times New Roman" w:eastAsia="Times New Roman" w:hAnsi="Times New Roman" w:cs="Times New Roman"/>
          <w:i/>
          <w:iCs/>
          <w:sz w:val="24"/>
          <w:szCs w:val="24"/>
          <w:lang w:val="kk"/>
        </w:rPr>
        <w:t>Жедел жайылған экзантематозды пустулез</w:t>
      </w:r>
    </w:p>
    <w:p w14:paraId="524228B2" w14:textId="77777777" w:rsidR="0070705D"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Жедел жайылған экзантематозды пустулез (AGEP) эноксапаринмен емдеумен байланысты белгісіз жиілікпен тіркелді. Пациенттерге препаратты тағайындаған кезде белгілер мен симптомдар туралы хабарлау және тері реакцияларын мұқият қадағалау керек. Егер осы реакцияларды көрсететін белгілер мен симптомдар пайда болса, эноксапаринді дереу тоқтату және баламалы емдеуді (қажеттілігіне қарай) қарастыру керек. </w:t>
      </w:r>
    </w:p>
    <w:p w14:paraId="4F200F1A" w14:textId="77777777" w:rsidR="0070705D" w:rsidRPr="00996810" w:rsidRDefault="0070705D" w:rsidP="006156E6">
      <w:pPr>
        <w:spacing w:after="0" w:line="240" w:lineRule="auto"/>
        <w:jc w:val="both"/>
        <w:rPr>
          <w:rFonts w:ascii="Times New Roman" w:eastAsia="Times New Roman" w:hAnsi="Times New Roman" w:cs="Times New Roman"/>
          <w:sz w:val="24"/>
          <w:szCs w:val="24"/>
          <w:lang w:val="kk"/>
        </w:rPr>
      </w:pPr>
    </w:p>
    <w:p w14:paraId="1BF03B81" w14:textId="77777777" w:rsidR="009F7D92"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4.5. Басқа дәрілік препараттармен өзара әрекеттесуі және өзара әрекеттесудің басқа түрлері.</w:t>
      </w:r>
    </w:p>
    <w:p w14:paraId="6A277C48" w14:textId="77777777" w:rsidR="006B795A" w:rsidRPr="00996810" w:rsidRDefault="002541C1" w:rsidP="006B795A">
      <w:pPr>
        <w:spacing w:after="0" w:line="240" w:lineRule="auto"/>
        <w:jc w:val="both"/>
        <w:rPr>
          <w:rFonts w:ascii="Times New Roman" w:eastAsia="Times New Roman" w:hAnsi="Times New Roman" w:cs="Times New Roman"/>
          <w:i/>
          <w:color w:val="000000"/>
          <w:sz w:val="24"/>
          <w:szCs w:val="24"/>
          <w:u w:val="single"/>
          <w:lang w:val="kk" w:eastAsia="hu-HU"/>
        </w:rPr>
      </w:pPr>
      <w:r w:rsidRPr="00996810">
        <w:rPr>
          <w:rFonts w:ascii="Times New Roman" w:eastAsia="Times New Roman" w:hAnsi="Times New Roman" w:cs="Times New Roman"/>
          <w:i/>
          <w:color w:val="000000"/>
          <w:sz w:val="24"/>
          <w:szCs w:val="24"/>
          <w:u w:val="single"/>
          <w:lang w:val="kk" w:eastAsia="hu-HU"/>
        </w:rPr>
        <w:t>Ұсынылмайтын біріктірілімдер</w:t>
      </w:r>
    </w:p>
    <w:p w14:paraId="07D7CDBF" w14:textId="77777777" w:rsidR="006B795A" w:rsidRPr="00996810" w:rsidRDefault="002541C1" w:rsidP="006B795A">
      <w:pPr>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b/>
          <w:sz w:val="24"/>
          <w:szCs w:val="24"/>
          <w:lang w:val="kk" w:eastAsia="hu-HU"/>
        </w:rPr>
        <w:t>-</w:t>
      </w:r>
      <w:r w:rsidRPr="00996810">
        <w:rPr>
          <w:rFonts w:ascii="Times New Roman" w:eastAsia="Times New Roman" w:hAnsi="Times New Roman" w:cs="Times New Roman"/>
          <w:sz w:val="24"/>
          <w:szCs w:val="24"/>
          <w:lang w:val="kk" w:eastAsia="hu-HU"/>
        </w:rPr>
        <w:t xml:space="preserve"> гемостазға әсер ететін препараттар (4.4- бөлімді қараңыз)</w:t>
      </w:r>
    </w:p>
    <w:p w14:paraId="7CFCC7F6" w14:textId="77777777" w:rsidR="006B795A" w:rsidRPr="00996810" w:rsidRDefault="002541C1" w:rsidP="006B795A">
      <w:pPr>
        <w:spacing w:after="0" w:line="240" w:lineRule="auto"/>
        <w:jc w:val="both"/>
        <w:rPr>
          <w:rFonts w:ascii="Times New Roman" w:eastAsia="Times New Roman" w:hAnsi="Times New Roman" w:cs="Times New Roman"/>
          <w:b/>
          <w:sz w:val="24"/>
          <w:szCs w:val="24"/>
          <w:lang w:val="kk" w:eastAsia="hu-HU"/>
        </w:rPr>
      </w:pPr>
      <w:r w:rsidRPr="00996810">
        <w:rPr>
          <w:rFonts w:ascii="Times New Roman" w:eastAsia="Times New Roman" w:hAnsi="Times New Roman" w:cs="Times New Roman"/>
          <w:sz w:val="24"/>
          <w:szCs w:val="24"/>
          <w:lang w:val="kk" w:eastAsia="hu-HU"/>
        </w:rPr>
        <w:t xml:space="preserve">Натрий эноксапаринімен емдеуді бастағанға дейін, оларды қолдану қатаң көрсетілген жағдайларды қоспағанда, гемостазға әсер ететін кейбір препараттарды қабылдауды тоқтату ұсынылады. Егер натрий эноксапаринінің осы препараттармен біріктірілімдері көрсетілсе, онда натрий эноксапаринін мұқият клиникалық бақылаумен және тиісінше зертханалық көрсеткіштерге мониторинг жасаумен қолдану керек.  </w:t>
      </w:r>
    </w:p>
    <w:p w14:paraId="089035B0" w14:textId="77777777" w:rsidR="006B795A" w:rsidRPr="00996810" w:rsidRDefault="002541C1" w:rsidP="006B795A">
      <w:pPr>
        <w:keepNext/>
        <w:tabs>
          <w:tab w:val="left" w:pos="567"/>
        </w:tabs>
        <w:spacing w:after="0" w:line="240" w:lineRule="auto"/>
        <w:contextualSpacing/>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Ондай заттарға келесі препараттар жатады:</w:t>
      </w:r>
    </w:p>
    <w:p w14:paraId="1F68443B" w14:textId="77777777" w:rsidR="006B795A" w:rsidRPr="00996810" w:rsidRDefault="002541C1" w:rsidP="00197DD4">
      <w:pPr>
        <w:keepNext/>
        <w:numPr>
          <w:ilvl w:val="0"/>
          <w:numId w:val="24"/>
        </w:numPr>
        <w:tabs>
          <w:tab w:val="left" w:pos="709"/>
        </w:tabs>
        <w:spacing w:after="0" w:line="240" w:lineRule="auto"/>
        <w:ind w:left="0" w:hanging="284"/>
        <w:contextualSpacing/>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 xml:space="preserve">жүйелі салицилаттар, ацетилсалицил қышқылы (қабынуға қарсы дозасы) және кеторолакты қоса, қабынуға қарсы стероидты емес препараттар; </w:t>
      </w:r>
    </w:p>
    <w:p w14:paraId="7E0E541C" w14:textId="77777777" w:rsidR="006B795A" w:rsidRPr="00996810" w:rsidRDefault="002541C1" w:rsidP="00197DD4">
      <w:pPr>
        <w:keepNext/>
        <w:numPr>
          <w:ilvl w:val="0"/>
          <w:numId w:val="24"/>
        </w:numPr>
        <w:tabs>
          <w:tab w:val="left" w:pos="709"/>
        </w:tabs>
        <w:spacing w:after="0" w:line="240" w:lineRule="auto"/>
        <w:ind w:left="0" w:hanging="284"/>
        <w:contextualSpacing/>
        <w:jc w:val="both"/>
        <w:rPr>
          <w:rFonts w:ascii="Times New Roman" w:eastAsia="Times New Roman" w:hAnsi="Times New Roman" w:cs="Times New Roman"/>
          <w:sz w:val="24"/>
          <w:szCs w:val="24"/>
        </w:rPr>
      </w:pPr>
      <w:r w:rsidRPr="00996810">
        <w:rPr>
          <w:rFonts w:ascii="Times New Roman" w:eastAsia="MS Mincho" w:hAnsi="Times New Roman" w:cs="Times New Roman"/>
          <w:color w:val="000000"/>
          <w:sz w:val="24"/>
          <w:szCs w:val="24"/>
          <w:lang w:val="kk"/>
        </w:rPr>
        <w:t>басқа тромболитиктер (альтеплаза, ретеплаза, стрептокиназа, тенектеплаза, урокиназа) және антикоагулянттар (4.2-бөлімді қараңыз).</w:t>
      </w:r>
    </w:p>
    <w:p w14:paraId="06BDBDB9" w14:textId="77777777" w:rsidR="006B795A" w:rsidRPr="00996810" w:rsidRDefault="002541C1" w:rsidP="006B795A">
      <w:pPr>
        <w:tabs>
          <w:tab w:val="left" w:pos="567"/>
        </w:tabs>
        <w:spacing w:after="0" w:line="240" w:lineRule="auto"/>
        <w:jc w:val="both"/>
        <w:rPr>
          <w:rFonts w:ascii="Times New Roman" w:eastAsia="Times New Roman" w:hAnsi="Times New Roman" w:cs="Times New Roman"/>
          <w:i/>
          <w:sz w:val="24"/>
          <w:szCs w:val="24"/>
          <w:u w:val="single"/>
          <w:lang w:eastAsia="hu-HU"/>
        </w:rPr>
      </w:pPr>
      <w:r w:rsidRPr="00996810">
        <w:rPr>
          <w:rFonts w:ascii="Times New Roman" w:eastAsia="Times New Roman" w:hAnsi="Times New Roman" w:cs="Times New Roman"/>
          <w:i/>
          <w:sz w:val="24"/>
          <w:szCs w:val="24"/>
          <w:u w:val="single"/>
          <w:lang w:val="kk" w:eastAsia="hu-HU"/>
        </w:rPr>
        <w:t>Сақтықпен қолдану</w:t>
      </w:r>
    </w:p>
    <w:p w14:paraId="382405F3" w14:textId="77777777" w:rsidR="006B795A" w:rsidRPr="00996810" w:rsidRDefault="002541C1" w:rsidP="006B795A">
      <w:pPr>
        <w:tabs>
          <w:tab w:val="left" w:pos="567"/>
        </w:tabs>
        <w:spacing w:after="0" w:line="240" w:lineRule="auto"/>
        <w:jc w:val="both"/>
        <w:rPr>
          <w:rFonts w:ascii="Times New Roman" w:eastAsia="Times New Roman" w:hAnsi="Times New Roman" w:cs="Times New Roman"/>
          <w:sz w:val="24"/>
          <w:szCs w:val="24"/>
          <w:lang w:eastAsia="hu-HU"/>
        </w:rPr>
      </w:pPr>
      <w:r w:rsidRPr="00996810">
        <w:rPr>
          <w:rFonts w:ascii="Times New Roman" w:eastAsia="Times New Roman" w:hAnsi="Times New Roman" w:cs="Times New Roman"/>
          <w:sz w:val="24"/>
          <w:szCs w:val="24"/>
          <w:lang w:val="kk" w:eastAsia="hu-HU"/>
        </w:rPr>
        <w:t>Келесі препараттарды натрий эноксапаринімен бір мезгілде сақтықпен қолдануға болады:</w:t>
      </w:r>
    </w:p>
    <w:p w14:paraId="59050767" w14:textId="77777777" w:rsidR="006B795A" w:rsidRPr="00996810" w:rsidRDefault="002541C1" w:rsidP="006B795A">
      <w:pPr>
        <w:keepNext/>
        <w:tabs>
          <w:tab w:val="left" w:pos="567"/>
        </w:tabs>
        <w:spacing w:after="0" w:line="240" w:lineRule="auto"/>
        <w:contextualSpacing/>
        <w:jc w:val="both"/>
        <w:rPr>
          <w:rFonts w:ascii="Times New Roman" w:eastAsia="Times New Roman" w:hAnsi="Times New Roman" w:cs="Times New Roman"/>
          <w:i/>
          <w:sz w:val="24"/>
          <w:szCs w:val="24"/>
        </w:rPr>
      </w:pPr>
      <w:r w:rsidRPr="00996810">
        <w:rPr>
          <w:rFonts w:ascii="Times New Roman" w:eastAsia="Times New Roman" w:hAnsi="Times New Roman" w:cs="Times New Roman"/>
          <w:i/>
          <w:sz w:val="24"/>
          <w:szCs w:val="24"/>
          <w:lang w:val="kk"/>
        </w:rPr>
        <w:t>Гемостазға әсер ететін басқа препараттар:</w:t>
      </w:r>
    </w:p>
    <w:p w14:paraId="30F9E93D" w14:textId="77777777" w:rsidR="006B795A" w:rsidRPr="00996810" w:rsidRDefault="002541C1" w:rsidP="00197DD4">
      <w:pPr>
        <w:numPr>
          <w:ilvl w:val="0"/>
          <w:numId w:val="23"/>
        </w:numPr>
        <w:autoSpaceDE w:val="0"/>
        <w:autoSpaceDN w:val="0"/>
        <w:adjustRightInd w:val="0"/>
        <w:spacing w:after="0" w:line="240" w:lineRule="auto"/>
        <w:ind w:left="0" w:hanging="284"/>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тромбоциттер агрегациясының тежегіштері, оның ішінде антиагреганттық дозадағы (кардиопротекция) ацетилсалицил қышқылы, клопидогрел, тиклопидин, қан кету қаупіне байланысты жедел коронарлық синдромда қолданылатын гликопротеиндік IIb/IIIa рецепторларының антогонистері</w:t>
      </w:r>
    </w:p>
    <w:p w14:paraId="7E75956F" w14:textId="77777777" w:rsidR="006B795A" w:rsidRPr="00996810" w:rsidRDefault="002541C1" w:rsidP="00197DD4">
      <w:pPr>
        <w:keepNext/>
        <w:tabs>
          <w:tab w:val="left" w:pos="851"/>
        </w:tabs>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ru-RU"/>
        </w:rPr>
      </w:pPr>
      <w:r w:rsidRPr="00996810">
        <w:rPr>
          <w:rFonts w:ascii="Times New Roman" w:eastAsia="MS Mincho" w:hAnsi="Times New Roman" w:cs="Times New Roman"/>
          <w:color w:val="000000"/>
          <w:sz w:val="24"/>
          <w:szCs w:val="24"/>
          <w:lang w:val="kk" w:eastAsia="ru-RU"/>
        </w:rPr>
        <w:lastRenderedPageBreak/>
        <w:t>- декстран 40</w:t>
      </w:r>
    </w:p>
    <w:p w14:paraId="7FF2C014" w14:textId="77777777" w:rsidR="006B795A" w:rsidRPr="00996810" w:rsidRDefault="002541C1" w:rsidP="00197DD4">
      <w:pPr>
        <w:keepNext/>
        <w:tabs>
          <w:tab w:val="left" w:pos="567"/>
          <w:tab w:val="left" w:pos="851"/>
        </w:tabs>
        <w:autoSpaceDE w:val="0"/>
        <w:autoSpaceDN w:val="0"/>
        <w:adjustRightInd w:val="0"/>
        <w:spacing w:after="0" w:line="240" w:lineRule="auto"/>
        <w:ind w:left="-142"/>
        <w:jc w:val="both"/>
        <w:rPr>
          <w:rFonts w:ascii="Times New Roman" w:eastAsia="Times New Roman" w:hAnsi="Times New Roman" w:cs="Times New Roman"/>
          <w:i/>
          <w:color w:val="000000"/>
          <w:sz w:val="24"/>
          <w:szCs w:val="24"/>
          <w:lang w:eastAsia="ru-RU"/>
        </w:rPr>
      </w:pPr>
      <w:r w:rsidRPr="00996810">
        <w:rPr>
          <w:rFonts w:ascii="Times New Roman" w:eastAsia="MS Mincho" w:hAnsi="Times New Roman" w:cs="Times New Roman"/>
          <w:color w:val="000000"/>
          <w:sz w:val="24"/>
          <w:szCs w:val="24"/>
          <w:lang w:val="kk" w:eastAsia="ru-RU"/>
        </w:rPr>
        <w:t>- жүйелі глюкокортикоидтар</w:t>
      </w:r>
    </w:p>
    <w:p w14:paraId="1EBFA9BE" w14:textId="77777777" w:rsidR="006B795A" w:rsidRPr="00996810" w:rsidRDefault="002541C1" w:rsidP="006B795A">
      <w:pPr>
        <w:keepNext/>
        <w:tabs>
          <w:tab w:val="left" w:pos="567"/>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996810">
        <w:rPr>
          <w:rFonts w:ascii="Times New Roman" w:eastAsia="Times New Roman" w:hAnsi="Times New Roman" w:cs="Times New Roman"/>
          <w:i/>
          <w:color w:val="000000"/>
          <w:sz w:val="24"/>
          <w:szCs w:val="24"/>
          <w:lang w:val="kk" w:eastAsia="ru-RU"/>
        </w:rPr>
        <w:t>Калий деңгейін жоғарылататын препараттар:</w:t>
      </w:r>
    </w:p>
    <w:p w14:paraId="39DF95D9" w14:textId="77777777" w:rsidR="006B795A" w:rsidRPr="00996810" w:rsidRDefault="002541C1" w:rsidP="006B79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сарысудағы калий деңгейін жоғарылататын препараттарды натрий эноксапаринімен бір мезгілде мұқият клиникалық бақылау және зертханалық көрсеткіштерді бақылау арқылы қолдануға болады (4.4 және 4.8-бөлімді қараңыз).</w:t>
      </w:r>
    </w:p>
    <w:p w14:paraId="518465AC" w14:textId="77777777" w:rsidR="0031198A" w:rsidRPr="00996810" w:rsidRDefault="0031198A" w:rsidP="00A75F5E">
      <w:pPr>
        <w:spacing w:after="0" w:line="240" w:lineRule="auto"/>
        <w:jc w:val="both"/>
        <w:rPr>
          <w:rFonts w:ascii="Times New Roman" w:eastAsia="Calibri" w:hAnsi="Times New Roman" w:cs="Times New Roman"/>
          <w:b/>
          <w:sz w:val="20"/>
          <w:szCs w:val="20"/>
        </w:rPr>
      </w:pPr>
    </w:p>
    <w:p w14:paraId="5F3D4808" w14:textId="77777777" w:rsidR="009C166C" w:rsidRPr="00996810" w:rsidRDefault="002541C1" w:rsidP="00A75F5E">
      <w:pPr>
        <w:spacing w:after="0" w:line="240" w:lineRule="auto"/>
        <w:jc w:val="both"/>
        <w:rPr>
          <w:rFonts w:ascii="Times New Roman" w:eastAsia="Calibri" w:hAnsi="Times New Roman" w:cs="Times New Roman"/>
          <w:b/>
          <w:sz w:val="20"/>
          <w:szCs w:val="20"/>
        </w:rPr>
      </w:pPr>
      <w:r w:rsidRPr="00996810">
        <w:rPr>
          <w:rFonts w:ascii="Times New Roman" w:hAnsi="Times New Roman" w:cs="Times New Roman"/>
          <w:b/>
          <w:sz w:val="24"/>
          <w:szCs w:val="24"/>
          <w:lang w:val="kk"/>
        </w:rPr>
        <w:t>4.6. Фертильділік, жүктілік және лактация</w:t>
      </w:r>
    </w:p>
    <w:p w14:paraId="4D013EDC" w14:textId="77777777" w:rsidR="0093645F" w:rsidRPr="00996810" w:rsidRDefault="002541C1" w:rsidP="0093645F">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 xml:space="preserve">Жүктілік кезінде </w:t>
      </w:r>
    </w:p>
    <w:p w14:paraId="43D5639A" w14:textId="77777777" w:rsidR="0093645F"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Адамда жүктіліктің екінші және үшінші триместрі кезінде натрий эноксапаринінің плаценталық бөгет арқылы өтетіндігі туралы мәліметтер жоқ. Жүктіліктің бірінші триместріне қатысты тиісті ақпарат жоқ. </w:t>
      </w:r>
    </w:p>
    <w:p w14:paraId="6C5AD113" w14:textId="77777777" w:rsidR="009500DB"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Жануарларға жүргізілген зерттеулер ешқандай фетоуыттылық немесе тератогенділік белгілерін анықтаған жоқ (5.3-бөлімді қараңыз). Жануарлардан алынған деректер эноксапариннің плацента арқылы өте аз өтетінін көрсетті. </w:t>
      </w:r>
    </w:p>
    <w:p w14:paraId="7313C6B4" w14:textId="77777777" w:rsidR="0093645F"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Эноксапарин натрийді жүктілік кезінде тек, дәрігер оны қолданудың аса қажеттілігін анықтаған жағдайларда ғана қолдану керек.  </w:t>
      </w:r>
    </w:p>
    <w:p w14:paraId="58BACA85" w14:textId="77777777" w:rsidR="0093645F"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Эноксапарин натрийді қабылдап жүрген жүкті әйелдерге, қан кету немесе шамадан тыс антикоагуляция белгілерінің пайда болуына қатысты мұқият қадағалау жүргізу керек. Әйелдерге қан кету қаупі туралы ескерту қажет.  Жалпы алғанда, деректерге сәйкес, жүректің жасанды клапандары бар жүкті әйелдер үшін қаупінен өзге, жүкті емес әйелдер үшін қаупіне қатысты қан кету, тромбоцитопения және остеопороз қаупінің артатындығына дәлелдер жоқ (4.4-бөлімді қараңыз).  </w:t>
      </w:r>
    </w:p>
    <w:p w14:paraId="10F83626" w14:textId="77777777" w:rsidR="00616F9A"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Алайда, егер эпидуральді анестезия жоспарланса, егер бұл мүмкін болса, анестезияға дейін, кемінде 12 сағат бұрын гепаринмен профилактикалық емді тоқтату керек. </w:t>
      </w:r>
    </w:p>
    <w:p w14:paraId="1D41FD83" w14:textId="77777777" w:rsidR="0093645F" w:rsidRPr="00996810" w:rsidRDefault="002541C1" w:rsidP="0093645F">
      <w:pPr>
        <w:spacing w:after="0" w:line="240" w:lineRule="auto"/>
        <w:jc w:val="both"/>
        <w:rPr>
          <w:rFonts w:ascii="Times New Roman" w:eastAsia="Calibri" w:hAnsi="Times New Roman" w:cs="Times New Roman"/>
          <w:i/>
          <w:sz w:val="24"/>
          <w:szCs w:val="24"/>
          <w:lang w:val="kk"/>
        </w:rPr>
      </w:pPr>
      <w:r w:rsidRPr="00996810">
        <w:rPr>
          <w:rFonts w:ascii="Times New Roman" w:eastAsia="Calibri" w:hAnsi="Times New Roman" w:cs="Times New Roman"/>
          <w:i/>
          <w:sz w:val="24"/>
          <w:szCs w:val="24"/>
          <w:lang w:val="kk"/>
        </w:rPr>
        <w:t>Лактация</w:t>
      </w:r>
    </w:p>
    <w:p w14:paraId="07A75CCA" w14:textId="77777777" w:rsidR="0093645F"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Өзгермеген натрий эноксапаринінің адамда емшек сүтіне бөлінетін-бөлінбейтіндігі белгісіз. Натрий эноксапаринінің пероральді сіңірілу ықтималдығы аз. Катеноксты бала емізу кезінде қолдануға болады.</w:t>
      </w:r>
    </w:p>
    <w:p w14:paraId="3A9F6ED3" w14:textId="77777777" w:rsidR="0093645F" w:rsidRPr="00996810" w:rsidRDefault="002541C1" w:rsidP="0093645F">
      <w:pPr>
        <w:spacing w:after="0" w:line="240" w:lineRule="auto"/>
        <w:jc w:val="both"/>
        <w:rPr>
          <w:rFonts w:ascii="Times New Roman" w:eastAsia="Calibri" w:hAnsi="Times New Roman" w:cs="Times New Roman"/>
          <w:i/>
          <w:sz w:val="24"/>
          <w:szCs w:val="24"/>
          <w:lang w:val="kk"/>
        </w:rPr>
      </w:pPr>
      <w:r w:rsidRPr="00996810">
        <w:rPr>
          <w:rFonts w:ascii="Times New Roman" w:eastAsia="Calibri" w:hAnsi="Times New Roman" w:cs="Times New Roman"/>
          <w:i/>
          <w:sz w:val="24"/>
          <w:szCs w:val="24"/>
          <w:lang w:val="kk"/>
        </w:rPr>
        <w:t xml:space="preserve">Фертильділік </w:t>
      </w:r>
    </w:p>
    <w:p w14:paraId="116B6C66" w14:textId="77777777" w:rsidR="0031198A" w:rsidRPr="00996810" w:rsidRDefault="002541C1" w:rsidP="00A75F5E">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Фертильділікке қатысты натрий эноксапарині бойынша клиникалық деректер жоқ. </w:t>
      </w:r>
    </w:p>
    <w:p w14:paraId="612A2D11" w14:textId="77777777" w:rsidR="00C42D5E" w:rsidRPr="00996810" w:rsidRDefault="00C42D5E" w:rsidP="00A75F5E">
      <w:pPr>
        <w:spacing w:after="0" w:line="240" w:lineRule="auto"/>
        <w:jc w:val="both"/>
        <w:rPr>
          <w:rFonts w:ascii="Times New Roman" w:hAnsi="Times New Roman" w:cs="Times New Roman"/>
          <w:b/>
          <w:sz w:val="24"/>
          <w:szCs w:val="24"/>
          <w:lang w:val="kk"/>
        </w:rPr>
      </w:pPr>
    </w:p>
    <w:p w14:paraId="2A0FBEDE" w14:textId="77777777" w:rsidR="00E015F8"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 xml:space="preserve">4.7. Көлік құралдарын және қауіптілігі зор механизмдерді басқару қабілетіне әсері  </w:t>
      </w:r>
    </w:p>
    <w:p w14:paraId="391A0E62" w14:textId="77777777" w:rsidR="00D91FB4" w:rsidRPr="00996810" w:rsidRDefault="002541C1" w:rsidP="00D91FB4">
      <w:pPr>
        <w:spacing w:after="0" w:line="240" w:lineRule="auto"/>
        <w:jc w:val="both"/>
        <w:rPr>
          <w:rFonts w:ascii="Times New Roman" w:hAnsi="Times New Roman" w:cs="Times New Roman"/>
          <w:sz w:val="24"/>
          <w:szCs w:val="24"/>
          <w:lang w:val="kk"/>
        </w:rPr>
      </w:pPr>
      <w:r w:rsidRPr="00996810">
        <w:rPr>
          <w:rFonts w:ascii="Times New Roman" w:hAnsi="Times New Roman" w:cs="Times New Roman"/>
          <w:bCs/>
          <w:sz w:val="24"/>
          <w:szCs w:val="24"/>
          <w:lang w:val="kk"/>
        </w:rPr>
        <w:t>Натрий эноксапарині көлік құралдарын басқару және механизмдермен жұмыс істеу қабілетіне елеусіз ықпал етеді немесе мүлде ықпал етпейді.</w:t>
      </w:r>
    </w:p>
    <w:p w14:paraId="37A6A73C" w14:textId="77777777" w:rsidR="0031198A" w:rsidRPr="00996810" w:rsidRDefault="0031198A" w:rsidP="00A75F5E">
      <w:pPr>
        <w:spacing w:after="0" w:line="240" w:lineRule="auto"/>
        <w:jc w:val="both"/>
        <w:rPr>
          <w:rFonts w:ascii="Times New Roman" w:hAnsi="Times New Roman" w:cs="Times New Roman"/>
          <w:sz w:val="24"/>
          <w:szCs w:val="24"/>
          <w:lang w:val="kk"/>
        </w:rPr>
      </w:pPr>
    </w:p>
    <w:p w14:paraId="0F6A7647" w14:textId="77777777" w:rsidR="00055682"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4.8. Жағымсыз реакциялар</w:t>
      </w:r>
    </w:p>
    <w:p w14:paraId="02482E3B" w14:textId="77777777" w:rsidR="009500DB" w:rsidRPr="00996810" w:rsidRDefault="002541C1" w:rsidP="00D91FB4">
      <w:pPr>
        <w:autoSpaceDE w:val="0"/>
        <w:autoSpaceDN w:val="0"/>
        <w:adjustRightInd w:val="0"/>
        <w:spacing w:after="0" w:line="240" w:lineRule="auto"/>
        <w:jc w:val="both"/>
        <w:rPr>
          <w:rFonts w:ascii="Times New Roman" w:eastAsia="TimesNewRomanPSMT" w:hAnsi="Times New Roman" w:cs="Times New Roman"/>
          <w:color w:val="000000"/>
          <w:sz w:val="24"/>
          <w:szCs w:val="24"/>
          <w:lang w:val="kk" w:eastAsia="ru-RU"/>
        </w:rPr>
      </w:pPr>
      <w:r w:rsidRPr="00996810">
        <w:rPr>
          <w:rFonts w:ascii="Times New Roman" w:eastAsia="TimesNewRomanPSMT" w:hAnsi="Times New Roman" w:cs="Times New Roman"/>
          <w:color w:val="000000"/>
          <w:sz w:val="24"/>
          <w:szCs w:val="24"/>
          <w:lang w:val="kk" w:eastAsia="ru-RU"/>
        </w:rPr>
        <w:t xml:space="preserve">Натрий эноксапарині клиникалық сынақтарда натрий эноксапаринін алған 15 000-нан астам пациентте бағаланды. Оның ішінде 1776 тромбоэмболиялық асқынулар қаупі бар пациенттерде ортопедиялық немесе абдоминальді операциялардан кейін тереңдегі веналар тромбозының профилактикасы үшін, 1169 қозғалуы елеулі шектелген қатты науқас терапиялық пациентте тереңдегі веналар тромбозының профилактикасы үшін, 559 ӨАТЭ бар немесе онсыз тереңдегі веналар тромбозын емдеу үшін, 1578 тұрақсыз стенокардияны және Q тісшесінсіз миокард инфарктін емдеу үшін және 10 176 ST сегментінің жоғарылауымен жедел миокард инфарктін емдеу үшін. </w:t>
      </w:r>
    </w:p>
    <w:p w14:paraId="262235E6" w14:textId="77777777" w:rsidR="009500DB" w:rsidRPr="00996810" w:rsidRDefault="002541C1"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val="kk" w:eastAsia="ru-RU"/>
        </w:rPr>
      </w:pPr>
      <w:r w:rsidRPr="00996810">
        <w:rPr>
          <w:rFonts w:ascii="Times New Roman" w:eastAsia="TimesNewRomanPSMT" w:hAnsi="Times New Roman" w:cs="Times New Roman"/>
          <w:color w:val="000000"/>
          <w:sz w:val="24"/>
          <w:szCs w:val="24"/>
          <w:lang w:val="kk" w:eastAsia="ru-RU"/>
        </w:rPr>
        <w:t xml:space="preserve">Бұл клиникалық сынақтардың барысында натрий эноксапаринін енгізу режимі көрсетімдерге байланысты ерекшеленеді. Операциядан кейін немесе қозғалуы елеулі шектелген қатты науқас пациенттерде тереңдегі веналар тромбозының профилактикасы үшін натрий эноксапаринінің дозасы күніне бір рет теріастына 4000 ХБ (40 мг) құрады. Өкпе артериясының тромбоэмболиясы бар немесе онсыз тереңдегі веналар тромбозын емдеу кезінде натрий эноксапаринін алған пациенттер әрбір 12 сағат сайын теріастына 100 ХБ/кг (1 мг/кг)  дозаны, не күніне бір рет теріастына 150 ХБ/кг (1,5 мг/кг) дозаны </w:t>
      </w:r>
      <w:r w:rsidRPr="00996810">
        <w:rPr>
          <w:rFonts w:ascii="Times New Roman" w:eastAsia="TimesNewRomanPSMT" w:hAnsi="Times New Roman" w:cs="Times New Roman"/>
          <w:color w:val="000000"/>
          <w:sz w:val="24"/>
          <w:szCs w:val="24"/>
          <w:lang w:val="kk" w:eastAsia="ru-RU"/>
        </w:rPr>
        <w:lastRenderedPageBreak/>
        <w:t>қабылдады. Клиникалық зерттеулерде тұрақсыз стенокардияны және Q тісшесінсіз миокард инфарктін емдеу үшін дозалар әр 12 сағат сайын теріастына 100 ХБ/кг (1 мг/кг) құрады, ал ST сегментінің жоғарылауымен жедел миокард инфарктін емдеу үшін клиникалық зерттеуде натрий эноксапаринінің схемасы 3000 ХБ (30 мг) венаішілік болюсті, одан кейін әр 12 сағатта теріастына 100 ХБ/кг (1 мг/кг) енгізуді құрады.</w:t>
      </w:r>
    </w:p>
    <w:p w14:paraId="097A6F55" w14:textId="0EBE1A8A" w:rsidR="009500DB" w:rsidRPr="00996810" w:rsidRDefault="002541C1"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val="kk" w:eastAsia="ru-RU"/>
        </w:rPr>
      </w:pPr>
      <w:r w:rsidRPr="00996810">
        <w:rPr>
          <w:rFonts w:ascii="Times New Roman" w:eastAsia="TimesNewRomanPSMT" w:hAnsi="Times New Roman" w:cs="Times New Roman"/>
          <w:color w:val="000000"/>
          <w:sz w:val="24"/>
          <w:szCs w:val="24"/>
          <w:lang w:val="kk" w:eastAsia="ru-RU"/>
        </w:rPr>
        <w:t>Клиникалық зерттеулерде қан кету, тромбоцитопения және тромбоцитоз сияқты реакциялар туралы жиірек хабарланды</w:t>
      </w:r>
      <w:r w:rsidR="00996810">
        <w:rPr>
          <w:rFonts w:ascii="Times New Roman" w:eastAsia="TimesNewRomanPSMT" w:hAnsi="Times New Roman" w:cs="Times New Roman"/>
          <w:color w:val="000000"/>
          <w:sz w:val="24"/>
          <w:szCs w:val="24"/>
          <w:lang w:val="kk" w:eastAsia="ru-RU"/>
        </w:rPr>
        <w:t xml:space="preserve"> </w:t>
      </w:r>
      <w:r w:rsidRPr="00996810">
        <w:rPr>
          <w:rFonts w:ascii="Times New Roman" w:eastAsia="TimesNewRomanPSMT" w:hAnsi="Times New Roman" w:cs="Times New Roman"/>
          <w:color w:val="000000"/>
          <w:sz w:val="24"/>
          <w:szCs w:val="24"/>
          <w:lang w:val="kk" w:eastAsia="ru-RU"/>
        </w:rPr>
        <w:t>(4.4-бөлімді және төменде берілген «Жекелеген жағымсыз реакциялардың сипаттамасын» қараңыз).</w:t>
      </w:r>
    </w:p>
    <w:p w14:paraId="390DD1E4" w14:textId="77777777" w:rsidR="009500DB" w:rsidRPr="00996810" w:rsidRDefault="002541C1"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val="kk" w:eastAsia="ru-RU"/>
        </w:rPr>
      </w:pPr>
      <w:r w:rsidRPr="00996810">
        <w:rPr>
          <w:rFonts w:ascii="Times New Roman" w:eastAsia="TimesNewRomanPSMT" w:hAnsi="Times New Roman" w:cs="Times New Roman"/>
          <w:color w:val="000000"/>
          <w:sz w:val="24"/>
          <w:szCs w:val="24"/>
          <w:lang w:val="kk" w:eastAsia="ru-RU"/>
        </w:rPr>
        <w:t>Белсенді обыры бар пациенттерде тереңдегі веналар тромбозы мен өкпе артериясының тромбоэмболиясын ұзақ уақыт емдеу үшін эноксапариннің қауіпсіздік бейіні оның тереңдегі веналар тромбозы мен өкпе артериясының тромбоэмболиясын емдеуге арналған қауіпсіздік бейініне ұқсас.</w:t>
      </w:r>
    </w:p>
    <w:p w14:paraId="6239F2A4" w14:textId="77777777" w:rsidR="00053452" w:rsidRPr="00996810" w:rsidRDefault="002541C1"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val="kk" w:eastAsia="ru-RU"/>
        </w:rPr>
      </w:pPr>
      <w:r w:rsidRPr="00996810">
        <w:rPr>
          <w:rFonts w:ascii="Times New Roman" w:eastAsia="TimesNewRomanPSMT" w:hAnsi="Times New Roman" w:cs="Times New Roman"/>
          <w:color w:val="000000"/>
          <w:sz w:val="24"/>
          <w:szCs w:val="24"/>
          <w:lang w:val="kk" w:eastAsia="ru-RU"/>
        </w:rPr>
        <w:t>Жедел жайылған экзантематозды пустулез (AGEP) эноксапаринмен емдеу кезінде тіркелді (4.4-бөлімді қараңыз).</w:t>
      </w:r>
    </w:p>
    <w:p w14:paraId="641E5D1C" w14:textId="77777777" w:rsidR="009500DB" w:rsidRPr="00996810" w:rsidRDefault="002541C1" w:rsidP="00D91FB4">
      <w:pPr>
        <w:autoSpaceDE w:val="0"/>
        <w:autoSpaceDN w:val="0"/>
        <w:adjustRightInd w:val="0"/>
        <w:spacing w:after="0" w:line="240" w:lineRule="auto"/>
        <w:jc w:val="both"/>
        <w:rPr>
          <w:rFonts w:ascii="Times New Roman" w:eastAsia="TimesNewRomanPSMT" w:hAnsi="Times New Roman" w:cs="Times New Roman"/>
          <w:i/>
          <w:iCs/>
          <w:color w:val="000000"/>
          <w:sz w:val="24"/>
          <w:szCs w:val="24"/>
          <w:lang w:val="kk" w:eastAsia="ru-RU"/>
        </w:rPr>
      </w:pPr>
      <w:r w:rsidRPr="00996810">
        <w:rPr>
          <w:rFonts w:ascii="Times New Roman" w:eastAsia="TimesNewRomanPSMT" w:hAnsi="Times New Roman" w:cs="Times New Roman"/>
          <w:i/>
          <w:iCs/>
          <w:color w:val="000000"/>
          <w:sz w:val="24"/>
          <w:szCs w:val="24"/>
          <w:lang w:val="kk" w:eastAsia="ru-RU"/>
        </w:rPr>
        <w:t>Жағымсыз реакциялардың кестелік тізімі</w:t>
      </w:r>
    </w:p>
    <w:p w14:paraId="7BE6EBB6" w14:textId="77777777" w:rsidR="00053452" w:rsidRPr="00996810" w:rsidRDefault="002541C1" w:rsidP="00D91FB4">
      <w:pPr>
        <w:autoSpaceDE w:val="0"/>
        <w:autoSpaceDN w:val="0"/>
        <w:adjustRightInd w:val="0"/>
        <w:spacing w:after="0" w:line="240" w:lineRule="auto"/>
        <w:jc w:val="both"/>
        <w:rPr>
          <w:rFonts w:ascii="Times New Roman" w:eastAsia="TimesNewRomanPSMT" w:hAnsi="Times New Roman" w:cs="Times New Roman"/>
          <w:sz w:val="24"/>
          <w:szCs w:val="24"/>
          <w:lang w:val="kk" w:eastAsia="ru-RU"/>
        </w:rPr>
      </w:pPr>
      <w:r w:rsidRPr="00996810">
        <w:rPr>
          <w:rFonts w:ascii="Times New Roman" w:eastAsia="TimesNewRomanPSMT" w:hAnsi="Times New Roman" w:cs="Times New Roman"/>
          <w:color w:val="000000"/>
          <w:sz w:val="24"/>
          <w:szCs w:val="24"/>
          <w:lang w:val="kk" w:eastAsia="ru-RU"/>
        </w:rPr>
        <w:t>Жағдайлардың туындау жиілігі: өте жиі (≥1/10), жиі (≥ 1/100 &lt;1/10), жиі емес (≥ 1/1000 &lt;1/100), сирек (≥ 1/10000 &lt;1/1000), өте сирек (&lt;1/10000), белгісіз (</w:t>
      </w:r>
      <w:r w:rsidRPr="00996810">
        <w:rPr>
          <w:rFonts w:ascii="Times New Roman" w:eastAsia="TimesNewRomanPSMT" w:hAnsi="Times New Roman" w:cs="Times New Roman"/>
          <w:sz w:val="24"/>
          <w:szCs w:val="24"/>
          <w:lang w:val="kk" w:eastAsia="ru-RU"/>
        </w:rPr>
        <w:t>жиілігін қолда бар деректерден анықтау мүмкін емес).</w:t>
      </w:r>
    </w:p>
    <w:p w14:paraId="64ED9E93" w14:textId="77777777" w:rsidR="00D91FB4" w:rsidRPr="00996810" w:rsidRDefault="002541C1" w:rsidP="00D91FB4">
      <w:pPr>
        <w:spacing w:after="0" w:line="240" w:lineRule="auto"/>
        <w:jc w:val="both"/>
        <w:rPr>
          <w:rFonts w:ascii="Times New Roman" w:eastAsia="Calibri" w:hAnsi="Times New Roman" w:cs="Times New Roman"/>
          <w:b/>
          <w:bCs/>
          <w:i/>
          <w:strike/>
          <w:sz w:val="24"/>
          <w:szCs w:val="24"/>
          <w:lang w:val="kk"/>
        </w:rPr>
      </w:pPr>
      <w:r w:rsidRPr="00996810">
        <w:rPr>
          <w:rFonts w:ascii="Times New Roman" w:eastAsia="Calibri" w:hAnsi="Times New Roman" w:cs="Times New Roman"/>
          <w:b/>
          <w:bCs/>
          <w:i/>
          <w:sz w:val="24"/>
          <w:szCs w:val="24"/>
          <w:lang w:val="kk"/>
        </w:rPr>
        <w:t>Қан және лимфа жүйесі тарапынан бұзылулар</w:t>
      </w:r>
    </w:p>
    <w:p w14:paraId="0AE9582E"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Жиі</w:t>
      </w:r>
    </w:p>
    <w:p w14:paraId="34E889F8" w14:textId="77777777" w:rsidR="00D91FB4" w:rsidRPr="00996810" w:rsidRDefault="002541C1" w:rsidP="00D91FB4">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lang w:val="kk"/>
        </w:rPr>
        <w:t>- қан кету, геморрагиялық анемия*, тромбоцитопения, тромбоцитоз</w:t>
      </w:r>
    </w:p>
    <w:p w14:paraId="5801BDD8"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55DCDDA3" w14:textId="77777777" w:rsidR="00D91FB4" w:rsidRPr="00996810" w:rsidRDefault="002541C1" w:rsidP="00D91FB4">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lang w:val="kk"/>
        </w:rPr>
        <w:t>- эозинофилия*, тромбозбен иммуноаллергиялық тромбоцитопения жағдайлары; кейбір жағдайларда тромбоз ішкі ағзалардың инфарктісімен немесе аяқ-қолдың ишемиясымен асқынған (4.4-бөлімді қараңыз).</w:t>
      </w:r>
    </w:p>
    <w:p w14:paraId="152F8BB6" w14:textId="77777777" w:rsidR="00D91FB4" w:rsidRPr="00996810" w:rsidRDefault="002541C1" w:rsidP="00D91FB4">
      <w:pPr>
        <w:spacing w:after="0" w:line="240" w:lineRule="auto"/>
        <w:jc w:val="both"/>
        <w:rPr>
          <w:rFonts w:ascii="Times New Roman" w:eastAsia="Calibri" w:hAnsi="Times New Roman" w:cs="Times New Roman"/>
          <w:b/>
          <w:bCs/>
          <w:i/>
          <w:sz w:val="24"/>
          <w:szCs w:val="24"/>
          <w:lang w:val="kk-KZ"/>
        </w:rPr>
      </w:pPr>
      <w:r w:rsidRPr="00996810">
        <w:rPr>
          <w:rFonts w:ascii="Times New Roman" w:eastAsia="Calibri" w:hAnsi="Times New Roman" w:cs="Times New Roman"/>
          <w:b/>
          <w:bCs/>
          <w:i/>
          <w:sz w:val="24"/>
          <w:szCs w:val="24"/>
          <w:lang w:val="kk"/>
        </w:rPr>
        <w:t>Иммундық жүйе тарапынан бұзылулар</w:t>
      </w:r>
    </w:p>
    <w:p w14:paraId="5C0F8242"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Жиі</w:t>
      </w:r>
    </w:p>
    <w:p w14:paraId="5A050035" w14:textId="77777777" w:rsidR="00D91FB4" w:rsidRPr="00996810" w:rsidRDefault="002541C1" w:rsidP="00D91FB4">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lang w:val="kk"/>
        </w:rPr>
        <w:t>- аллергиялық реакция</w:t>
      </w:r>
    </w:p>
    <w:p w14:paraId="0CE5D01E" w14:textId="77777777" w:rsidR="00D91FB4" w:rsidRPr="00996810" w:rsidRDefault="002541C1" w:rsidP="00D91FB4">
      <w:pPr>
        <w:tabs>
          <w:tab w:val="left" w:pos="5481"/>
        </w:tabs>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r w:rsidRPr="00996810">
        <w:rPr>
          <w:rFonts w:ascii="Times New Roman" w:eastAsia="Calibri" w:hAnsi="Times New Roman" w:cs="Times New Roman"/>
          <w:bCs/>
          <w:i/>
          <w:sz w:val="24"/>
          <w:szCs w:val="24"/>
          <w:lang w:val="kk"/>
        </w:rPr>
        <w:tab/>
      </w:r>
    </w:p>
    <w:p w14:paraId="676DC0B9" w14:textId="77777777" w:rsidR="00D91FB4" w:rsidRPr="00996810" w:rsidRDefault="002541C1" w:rsidP="00D91FB4">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lang w:val="kk"/>
        </w:rPr>
        <w:t>- шокты қоса, анафилаксиялық /анафилактоидтық реакциялар*</w:t>
      </w:r>
    </w:p>
    <w:p w14:paraId="78877164" w14:textId="77777777" w:rsidR="00D91FB4" w:rsidRPr="00996810" w:rsidRDefault="002541C1" w:rsidP="00D91FB4">
      <w:pPr>
        <w:spacing w:after="0" w:line="240" w:lineRule="auto"/>
        <w:jc w:val="both"/>
        <w:rPr>
          <w:rFonts w:ascii="Times New Roman" w:eastAsia="Calibri" w:hAnsi="Times New Roman" w:cs="Times New Roman"/>
          <w:b/>
          <w:bCs/>
          <w:i/>
          <w:sz w:val="24"/>
          <w:szCs w:val="24"/>
          <w:lang w:val="kk-KZ"/>
        </w:rPr>
      </w:pPr>
      <w:r w:rsidRPr="00996810">
        <w:rPr>
          <w:rFonts w:ascii="Times New Roman" w:eastAsia="Calibri" w:hAnsi="Times New Roman" w:cs="Times New Roman"/>
          <w:b/>
          <w:bCs/>
          <w:i/>
          <w:sz w:val="24"/>
          <w:szCs w:val="24"/>
          <w:lang w:val="kk"/>
        </w:rPr>
        <w:t>Жүйке жүйесі тарапынан бұзылулар</w:t>
      </w:r>
    </w:p>
    <w:p w14:paraId="7F15F0A7"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Жиі</w:t>
      </w:r>
    </w:p>
    <w:p w14:paraId="07BE2318"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бас ауыруы*</w:t>
      </w:r>
    </w:p>
    <w:p w14:paraId="2454FCE7" w14:textId="77777777" w:rsidR="00D91FB4" w:rsidRPr="00996810" w:rsidRDefault="002541C1" w:rsidP="00D91FB4">
      <w:pPr>
        <w:spacing w:after="0" w:line="240" w:lineRule="auto"/>
        <w:jc w:val="both"/>
        <w:rPr>
          <w:rFonts w:ascii="Times New Roman" w:eastAsia="Calibri" w:hAnsi="Times New Roman" w:cs="Times New Roman"/>
          <w:b/>
          <w:bCs/>
          <w:i/>
          <w:sz w:val="24"/>
          <w:szCs w:val="24"/>
          <w:lang w:val="kk-KZ"/>
        </w:rPr>
      </w:pPr>
      <w:r w:rsidRPr="00996810">
        <w:rPr>
          <w:rFonts w:ascii="Times New Roman" w:eastAsia="Calibri" w:hAnsi="Times New Roman" w:cs="Times New Roman"/>
          <w:b/>
          <w:bCs/>
          <w:i/>
          <w:sz w:val="24"/>
          <w:szCs w:val="24"/>
          <w:lang w:val="kk"/>
        </w:rPr>
        <w:t>Қантамырлар тарапынан бұзылулар</w:t>
      </w:r>
    </w:p>
    <w:p w14:paraId="6B76F1B2"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4D233A51" w14:textId="77777777" w:rsidR="00D91FB4" w:rsidRPr="00996810" w:rsidRDefault="002541C1" w:rsidP="00D91FB4">
      <w:pPr>
        <w:spacing w:after="0" w:line="240" w:lineRule="auto"/>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жұлын гематомасы* (немесе нейроаксиальді гематома), бұл тұрақты немесе қайтымсыз салдануды қоса, ауырлық дәрежесі әртүрлі неврологиялық бұзылулардың дамуына әкелуі мүмкін (4.4-бөлімді қараңыз).</w:t>
      </w:r>
    </w:p>
    <w:p w14:paraId="5B810A9E" w14:textId="77777777" w:rsidR="00D91FB4" w:rsidRPr="00996810" w:rsidRDefault="002541C1" w:rsidP="00D91FB4">
      <w:pPr>
        <w:spacing w:after="0" w:line="240" w:lineRule="auto"/>
        <w:jc w:val="both"/>
        <w:rPr>
          <w:rFonts w:ascii="Times New Roman" w:eastAsia="Calibri" w:hAnsi="Times New Roman" w:cs="Times New Roman"/>
          <w:b/>
          <w:bCs/>
          <w:i/>
          <w:sz w:val="24"/>
          <w:szCs w:val="24"/>
          <w:lang w:val="kk-KZ"/>
        </w:rPr>
      </w:pPr>
      <w:r w:rsidRPr="00996810">
        <w:rPr>
          <w:rFonts w:ascii="Times New Roman" w:eastAsia="Calibri" w:hAnsi="Times New Roman" w:cs="Times New Roman"/>
          <w:b/>
          <w:bCs/>
          <w:i/>
          <w:sz w:val="24"/>
          <w:szCs w:val="24"/>
          <w:lang w:val="kk"/>
        </w:rPr>
        <w:t>Бауыр және өт шығару жолдары тарапынан бұзылулар</w:t>
      </w:r>
    </w:p>
    <w:p w14:paraId="00813D66" w14:textId="77777777" w:rsidR="00D91FB4" w:rsidRPr="00996810" w:rsidRDefault="002541C1" w:rsidP="00D91FB4">
      <w:pPr>
        <w:spacing w:after="0" w:line="240" w:lineRule="auto"/>
        <w:jc w:val="both"/>
        <w:rPr>
          <w:rFonts w:ascii="Times New Roman" w:eastAsia="Calibri" w:hAnsi="Times New Roman" w:cs="Times New Roman"/>
          <w:bCs/>
          <w:i/>
          <w:sz w:val="24"/>
          <w:szCs w:val="24"/>
          <w:lang w:val="kk-KZ"/>
        </w:rPr>
      </w:pPr>
      <w:r w:rsidRPr="00996810">
        <w:rPr>
          <w:rFonts w:ascii="Times New Roman" w:eastAsia="Calibri" w:hAnsi="Times New Roman" w:cs="Times New Roman"/>
          <w:bCs/>
          <w:i/>
          <w:sz w:val="24"/>
          <w:szCs w:val="24"/>
          <w:lang w:val="kk"/>
        </w:rPr>
        <w:t>Өте жиі</w:t>
      </w:r>
    </w:p>
    <w:p w14:paraId="791D180A" w14:textId="77777777" w:rsidR="00D91FB4" w:rsidRPr="00996810" w:rsidRDefault="002541C1" w:rsidP="00D91FB4">
      <w:pPr>
        <w:spacing w:after="0" w:line="240" w:lineRule="auto"/>
        <w:jc w:val="both"/>
        <w:rPr>
          <w:rFonts w:ascii="Times New Roman" w:eastAsia="Times New Roman" w:hAnsi="Times New Roman" w:cs="Times New Roman"/>
          <w:bCs/>
          <w:sz w:val="24"/>
          <w:szCs w:val="24"/>
          <w:lang w:val="kk-KZ" w:eastAsia="hu-HU"/>
        </w:rPr>
      </w:pPr>
      <w:r w:rsidRPr="00996810">
        <w:rPr>
          <w:rFonts w:ascii="Times New Roman" w:eastAsia="Times New Roman" w:hAnsi="Times New Roman" w:cs="Times New Roman"/>
          <w:bCs/>
          <w:sz w:val="24"/>
          <w:szCs w:val="24"/>
          <w:lang w:val="kk" w:eastAsia="hu-HU"/>
        </w:rPr>
        <w:t>- бауыр энзимдері мөлшерінің артуы (негізінен, трансаминазалар қалыптың жоғарғы шегінен 3 есе көп)</w:t>
      </w:r>
    </w:p>
    <w:p w14:paraId="6C303B5B" w14:textId="77777777" w:rsidR="00D91FB4" w:rsidRPr="00996810" w:rsidRDefault="002541C1" w:rsidP="00D91FB4">
      <w:pPr>
        <w:spacing w:after="0" w:line="240" w:lineRule="auto"/>
        <w:jc w:val="both"/>
        <w:rPr>
          <w:rFonts w:ascii="Times New Roman" w:eastAsia="Times New Roman" w:hAnsi="Times New Roman" w:cs="Times New Roman"/>
          <w:bCs/>
          <w:i/>
          <w:sz w:val="24"/>
          <w:szCs w:val="24"/>
          <w:lang w:eastAsia="hu-HU"/>
        </w:rPr>
      </w:pPr>
      <w:r w:rsidRPr="00996810">
        <w:rPr>
          <w:rFonts w:ascii="Times New Roman" w:eastAsia="Times New Roman" w:hAnsi="Times New Roman" w:cs="Times New Roman"/>
          <w:bCs/>
          <w:i/>
          <w:sz w:val="24"/>
          <w:szCs w:val="24"/>
          <w:lang w:val="kk" w:eastAsia="hu-HU"/>
        </w:rPr>
        <w:t>Жиі емес</w:t>
      </w:r>
    </w:p>
    <w:p w14:paraId="116203E1" w14:textId="77777777" w:rsidR="00D91FB4" w:rsidRPr="00996810" w:rsidRDefault="002541C1" w:rsidP="00D91FB4">
      <w:pPr>
        <w:numPr>
          <w:ilvl w:val="0"/>
          <w:numId w:val="25"/>
        </w:numPr>
        <w:spacing w:after="0" w:line="240" w:lineRule="auto"/>
        <w:ind w:left="0" w:firstLine="0"/>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бауырдың гепатоцеллюлярлы зақымдануы*</w:t>
      </w:r>
    </w:p>
    <w:p w14:paraId="783B7EEA"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1D80CF58" w14:textId="77777777" w:rsidR="00D91FB4" w:rsidRPr="00996810" w:rsidRDefault="002541C1" w:rsidP="00D91FB4">
      <w:pPr>
        <w:numPr>
          <w:ilvl w:val="0"/>
          <w:numId w:val="26"/>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бауырдың холестаздық зақымдануы*</w:t>
      </w:r>
    </w:p>
    <w:p w14:paraId="719F3204" w14:textId="77777777" w:rsidR="00D91FB4" w:rsidRPr="00996810" w:rsidRDefault="002541C1" w:rsidP="00D91FB4">
      <w:pPr>
        <w:spacing w:after="0" w:line="240" w:lineRule="auto"/>
        <w:jc w:val="both"/>
        <w:rPr>
          <w:rFonts w:ascii="Times New Roman" w:eastAsia="Times New Roman" w:hAnsi="Times New Roman" w:cs="Times New Roman"/>
          <w:b/>
          <w:bCs/>
          <w:i/>
          <w:sz w:val="24"/>
          <w:szCs w:val="24"/>
          <w:lang w:val="kk-KZ" w:eastAsia="hu-HU"/>
        </w:rPr>
      </w:pPr>
      <w:r w:rsidRPr="00996810">
        <w:rPr>
          <w:rFonts w:ascii="Times New Roman" w:eastAsia="Times New Roman" w:hAnsi="Times New Roman" w:cs="Times New Roman"/>
          <w:b/>
          <w:bCs/>
          <w:i/>
          <w:sz w:val="24"/>
          <w:szCs w:val="24"/>
          <w:lang w:val="kk" w:eastAsia="hu-HU"/>
        </w:rPr>
        <w:t>Тері және тері асты тіндері тарапынан бұзылулар</w:t>
      </w:r>
    </w:p>
    <w:p w14:paraId="034EB57F"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Жиі</w:t>
      </w:r>
    </w:p>
    <w:p w14:paraId="7D958E4B" w14:textId="77777777" w:rsidR="00D91FB4" w:rsidRPr="00996810" w:rsidRDefault="002541C1" w:rsidP="00D91FB4">
      <w:pPr>
        <w:spacing w:after="0" w:line="240" w:lineRule="auto"/>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есекжем, қышыну, эритема</w:t>
      </w:r>
    </w:p>
    <w:p w14:paraId="6D80C630" w14:textId="77777777" w:rsidR="00D91FB4" w:rsidRPr="00996810" w:rsidRDefault="002541C1" w:rsidP="00D91FB4">
      <w:pPr>
        <w:tabs>
          <w:tab w:val="left" w:pos="1504"/>
        </w:tabs>
        <w:spacing w:after="0" w:line="240" w:lineRule="auto"/>
        <w:jc w:val="both"/>
        <w:rPr>
          <w:rFonts w:ascii="Times New Roman" w:eastAsia="Times New Roman" w:hAnsi="Times New Roman" w:cs="Times New Roman"/>
          <w:bCs/>
          <w:i/>
          <w:sz w:val="24"/>
          <w:szCs w:val="24"/>
          <w:lang w:eastAsia="hu-HU"/>
        </w:rPr>
      </w:pPr>
      <w:r w:rsidRPr="00996810">
        <w:rPr>
          <w:rFonts w:ascii="Times New Roman" w:eastAsia="Times New Roman" w:hAnsi="Times New Roman" w:cs="Times New Roman"/>
          <w:bCs/>
          <w:i/>
          <w:sz w:val="24"/>
          <w:szCs w:val="24"/>
          <w:lang w:val="kk" w:eastAsia="hu-HU"/>
        </w:rPr>
        <w:t>Жиі емес</w:t>
      </w:r>
      <w:r w:rsidRPr="00996810">
        <w:rPr>
          <w:rFonts w:ascii="Times New Roman" w:eastAsia="Times New Roman" w:hAnsi="Times New Roman" w:cs="Times New Roman"/>
          <w:bCs/>
          <w:i/>
          <w:sz w:val="24"/>
          <w:szCs w:val="24"/>
          <w:lang w:val="kk" w:eastAsia="hu-HU"/>
        </w:rPr>
        <w:tab/>
      </w:r>
    </w:p>
    <w:p w14:paraId="0040026C" w14:textId="77777777" w:rsidR="00D91FB4" w:rsidRPr="00996810" w:rsidRDefault="002541C1" w:rsidP="00D91FB4">
      <w:pPr>
        <w:spacing w:after="0" w:line="240" w:lineRule="auto"/>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xml:space="preserve">- буллезді дерматит  </w:t>
      </w:r>
    </w:p>
    <w:p w14:paraId="32A99AC3"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2FA30727"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lastRenderedPageBreak/>
        <w:t xml:space="preserve">- алопеция*, тері васкулиті*, тері некрозы*, әдетте инъекция орнында пайда болады (бұл құбылыстардың алдында әдетте пурпура немесе инфильтрацияланған және ауыртатын эритематозды түйіндақтар болады), препараттың инъекция орнындағы түйіндер* (эноксапариннің киста тәрізді капсуляциясы болып табылмайтын қабынбалы түйіндер), олар бірнеше күннен кейін жоғалады және препаратты тоқтатуға негіз болып табылмайды </w:t>
      </w:r>
    </w:p>
    <w:p w14:paraId="1C564301" w14:textId="77777777" w:rsidR="00216B44" w:rsidRPr="00996810" w:rsidRDefault="002541C1" w:rsidP="00D91FB4">
      <w:pPr>
        <w:tabs>
          <w:tab w:val="left" w:pos="567"/>
        </w:tabs>
        <w:spacing w:after="0" w:line="240" w:lineRule="auto"/>
        <w:contextualSpacing/>
        <w:jc w:val="both"/>
        <w:rPr>
          <w:rFonts w:ascii="Times New Roman" w:eastAsia="Times New Roman" w:hAnsi="Times New Roman" w:cs="Times New Roman"/>
          <w:bCs/>
          <w:i/>
          <w:iCs/>
          <w:sz w:val="24"/>
          <w:szCs w:val="24"/>
          <w:lang w:eastAsia="hu-HU"/>
        </w:rPr>
      </w:pPr>
      <w:r w:rsidRPr="00996810">
        <w:rPr>
          <w:rFonts w:ascii="Times New Roman" w:eastAsia="Times New Roman" w:hAnsi="Times New Roman" w:cs="Times New Roman"/>
          <w:bCs/>
          <w:i/>
          <w:iCs/>
          <w:sz w:val="24"/>
          <w:szCs w:val="24"/>
          <w:lang w:val="kk" w:eastAsia="hu-HU"/>
        </w:rPr>
        <w:t>Белгісіз</w:t>
      </w:r>
    </w:p>
    <w:p w14:paraId="34553D0E" w14:textId="77777777" w:rsidR="00216B44" w:rsidRPr="00996810" w:rsidRDefault="002541C1"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жедел жайылған экзантематозды пустулез (AGEP)</w:t>
      </w:r>
    </w:p>
    <w:p w14:paraId="451404B2" w14:textId="77777777" w:rsidR="00D91FB4" w:rsidRPr="00996810" w:rsidRDefault="002541C1" w:rsidP="00D91FB4">
      <w:pPr>
        <w:spacing w:after="0" w:line="240" w:lineRule="auto"/>
        <w:jc w:val="both"/>
        <w:rPr>
          <w:rFonts w:ascii="Times New Roman" w:eastAsia="Times New Roman" w:hAnsi="Times New Roman" w:cs="Times New Roman"/>
          <w:bCs/>
          <w:i/>
          <w:sz w:val="24"/>
          <w:szCs w:val="24"/>
          <w:lang w:eastAsia="hu-HU"/>
        </w:rPr>
      </w:pPr>
      <w:r w:rsidRPr="00996810">
        <w:rPr>
          <w:rFonts w:ascii="Times New Roman" w:eastAsia="Calibri" w:hAnsi="Times New Roman" w:cs="Times New Roman"/>
          <w:b/>
          <w:bCs/>
          <w:i/>
          <w:sz w:val="24"/>
          <w:szCs w:val="24"/>
          <w:lang w:val="kk"/>
        </w:rPr>
        <w:t>Қаңқа бұлшықет және дәнекер тін тарапынан бұзылулар</w:t>
      </w:r>
    </w:p>
    <w:p w14:paraId="2C050CDD"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58CB38D9"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ұзақ емнен кейінгі (3 айдан астам) остеопороз*</w:t>
      </w:r>
    </w:p>
    <w:p w14:paraId="0750D060" w14:textId="77777777" w:rsidR="00D91FB4" w:rsidRPr="00996810" w:rsidRDefault="002541C1" w:rsidP="00D91FB4">
      <w:pPr>
        <w:spacing w:after="0" w:line="240" w:lineRule="auto"/>
        <w:jc w:val="both"/>
        <w:rPr>
          <w:rFonts w:ascii="Times New Roman" w:eastAsia="Times New Roman" w:hAnsi="Times New Roman" w:cs="Times New Roman"/>
          <w:b/>
          <w:bCs/>
          <w:i/>
          <w:sz w:val="24"/>
          <w:szCs w:val="24"/>
          <w:lang w:eastAsia="hu-HU"/>
        </w:rPr>
      </w:pPr>
      <w:r w:rsidRPr="00996810">
        <w:rPr>
          <w:rFonts w:ascii="Times New Roman" w:eastAsia="Times New Roman" w:hAnsi="Times New Roman" w:cs="Times New Roman"/>
          <w:b/>
          <w:bCs/>
          <w:i/>
          <w:sz w:val="24"/>
          <w:szCs w:val="24"/>
          <w:lang w:val="kk" w:eastAsia="hu-HU"/>
        </w:rPr>
        <w:t>Жалпы бұзылулар және енгізген жердегі  реакциялар</w:t>
      </w:r>
    </w:p>
    <w:p w14:paraId="4256A9CC"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Жиі</w:t>
      </w:r>
    </w:p>
    <w:p w14:paraId="11BCD66C" w14:textId="77777777" w:rsidR="00D91FB4" w:rsidRPr="00996810" w:rsidRDefault="002541C1" w:rsidP="00D91FB4">
      <w:pPr>
        <w:spacing w:after="0" w:line="240" w:lineRule="auto"/>
        <w:jc w:val="both"/>
        <w:rPr>
          <w:rFonts w:ascii="Times New Roman" w:eastAsia="Times New Roman" w:hAnsi="Times New Roman" w:cs="Times New Roman"/>
          <w:strike/>
          <w:sz w:val="24"/>
          <w:szCs w:val="24"/>
          <w:lang w:eastAsia="hu-HU"/>
        </w:rPr>
      </w:pPr>
      <w:r w:rsidRPr="00996810">
        <w:rPr>
          <w:rFonts w:ascii="Times New Roman" w:eastAsia="Times New Roman" w:hAnsi="Times New Roman" w:cs="Times New Roman"/>
          <w:bCs/>
          <w:sz w:val="24"/>
          <w:szCs w:val="24"/>
          <w:lang w:val="kk" w:eastAsia="hu-HU"/>
        </w:rPr>
        <w:t>- инъекция орнындағы гематомалар, инъекция орнының ауыруы, инъекция орнындағы басқа да реакция (ісіну, қан кету, жоғары сезімталдық, қабыну, түзілімдер, инъекция орнындағы ауыру немесе реакция)</w:t>
      </w:r>
    </w:p>
    <w:p w14:paraId="147AA283" w14:textId="77777777" w:rsidR="00D91FB4" w:rsidRPr="00996810" w:rsidRDefault="002541C1" w:rsidP="00D91FB4">
      <w:pPr>
        <w:tabs>
          <w:tab w:val="left" w:pos="1504"/>
          <w:tab w:val="left" w:pos="3353"/>
        </w:tabs>
        <w:spacing w:after="0" w:line="240" w:lineRule="auto"/>
        <w:jc w:val="both"/>
        <w:rPr>
          <w:rFonts w:ascii="Times New Roman" w:eastAsia="Times New Roman" w:hAnsi="Times New Roman" w:cs="Times New Roman"/>
          <w:bCs/>
          <w:i/>
          <w:sz w:val="24"/>
          <w:szCs w:val="24"/>
          <w:lang w:eastAsia="hu-HU"/>
        </w:rPr>
      </w:pPr>
      <w:r w:rsidRPr="00996810">
        <w:rPr>
          <w:rFonts w:ascii="Times New Roman" w:eastAsia="Times New Roman" w:hAnsi="Times New Roman" w:cs="Times New Roman"/>
          <w:bCs/>
          <w:i/>
          <w:sz w:val="24"/>
          <w:szCs w:val="24"/>
          <w:lang w:val="kk" w:eastAsia="hu-HU"/>
        </w:rPr>
        <w:t>Жиі емес</w:t>
      </w:r>
      <w:r w:rsidRPr="00996810">
        <w:rPr>
          <w:rFonts w:ascii="Times New Roman" w:eastAsia="Times New Roman" w:hAnsi="Times New Roman" w:cs="Times New Roman"/>
          <w:bCs/>
          <w:i/>
          <w:sz w:val="24"/>
          <w:szCs w:val="24"/>
          <w:lang w:val="kk" w:eastAsia="hu-HU"/>
        </w:rPr>
        <w:tab/>
      </w:r>
      <w:r w:rsidRPr="00996810">
        <w:rPr>
          <w:rFonts w:ascii="Times New Roman" w:eastAsia="Times New Roman" w:hAnsi="Times New Roman" w:cs="Times New Roman"/>
          <w:bCs/>
          <w:i/>
          <w:sz w:val="24"/>
          <w:szCs w:val="24"/>
          <w:lang w:val="kk" w:eastAsia="hu-HU"/>
        </w:rPr>
        <w:tab/>
      </w:r>
    </w:p>
    <w:p w14:paraId="3FB934B0"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Times New Roman" w:hAnsi="Times New Roman" w:cs="Times New Roman"/>
          <w:bCs/>
          <w:sz w:val="24"/>
          <w:szCs w:val="24"/>
          <w:lang w:val="kk" w:eastAsia="hu-HU"/>
        </w:rPr>
        <w:t>- жергілікті тітіркену, инъекция орнындағы тері некрозы</w:t>
      </w:r>
    </w:p>
    <w:p w14:paraId="3F270726"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
          <w:bCs/>
          <w:i/>
          <w:sz w:val="24"/>
          <w:szCs w:val="24"/>
          <w:lang w:eastAsia="hu-HU"/>
        </w:rPr>
      </w:pPr>
      <w:r w:rsidRPr="00996810">
        <w:rPr>
          <w:rFonts w:ascii="Times New Roman" w:eastAsia="Times New Roman" w:hAnsi="Times New Roman" w:cs="Times New Roman"/>
          <w:b/>
          <w:bCs/>
          <w:i/>
          <w:sz w:val="24"/>
          <w:szCs w:val="24"/>
          <w:lang w:val="kk" w:eastAsia="hu-HU"/>
        </w:rPr>
        <w:t>Зертханалық деректер</w:t>
      </w:r>
    </w:p>
    <w:p w14:paraId="574A1405"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4FEEEE24"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Cs/>
          <w:color w:val="000000"/>
          <w:sz w:val="24"/>
          <w:szCs w:val="24"/>
          <w:lang w:eastAsia="hu-HU"/>
        </w:rPr>
      </w:pPr>
      <w:r w:rsidRPr="00996810">
        <w:rPr>
          <w:rFonts w:ascii="Times New Roman" w:eastAsia="Times New Roman" w:hAnsi="Times New Roman" w:cs="Times New Roman"/>
          <w:bCs/>
          <w:sz w:val="24"/>
          <w:szCs w:val="24"/>
          <w:lang w:val="kk" w:eastAsia="hu-HU"/>
        </w:rPr>
        <w:t>- гиперкалиемия (4.4 және 4.5- бөлімді қараңыз)*</w:t>
      </w:r>
    </w:p>
    <w:p w14:paraId="1C32AB41"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
          <w:bCs/>
          <w:i/>
          <w:color w:val="000000"/>
          <w:sz w:val="24"/>
          <w:szCs w:val="24"/>
          <w:lang w:eastAsia="hu-HU"/>
        </w:rPr>
      </w:pPr>
      <w:r w:rsidRPr="00996810">
        <w:rPr>
          <w:rFonts w:ascii="Times New Roman" w:eastAsia="Times New Roman" w:hAnsi="Times New Roman" w:cs="Times New Roman"/>
          <w:b/>
          <w:bCs/>
          <w:i/>
          <w:color w:val="000000"/>
          <w:sz w:val="24"/>
          <w:szCs w:val="24"/>
          <w:lang w:val="kk" w:eastAsia="hu-HU"/>
        </w:rPr>
        <w:t>Кейбір жағымсыз реакциялардың сипаттамасы</w:t>
      </w:r>
    </w:p>
    <w:p w14:paraId="5EE09DB9" w14:textId="77777777" w:rsidR="00D91FB4" w:rsidRPr="00996810" w:rsidRDefault="002541C1" w:rsidP="00D91FB4">
      <w:pPr>
        <w:autoSpaceDE w:val="0"/>
        <w:autoSpaceDN w:val="0"/>
        <w:adjustRightInd w:val="0"/>
        <w:spacing w:after="0" w:line="240" w:lineRule="auto"/>
        <w:jc w:val="both"/>
        <w:rPr>
          <w:rFonts w:ascii="Times New Roman" w:eastAsia="Calibri" w:hAnsi="Times New Roman" w:cs="Times New Roman"/>
          <w:b/>
          <w:bCs/>
          <w:i/>
          <w:sz w:val="24"/>
          <w:szCs w:val="24"/>
        </w:rPr>
      </w:pPr>
      <w:r w:rsidRPr="00996810">
        <w:rPr>
          <w:rFonts w:ascii="Times New Roman" w:eastAsia="Calibri" w:hAnsi="Times New Roman" w:cs="Times New Roman"/>
          <w:b/>
          <w:bCs/>
          <w:i/>
          <w:sz w:val="24"/>
          <w:szCs w:val="24"/>
          <w:lang w:val="kk"/>
        </w:rPr>
        <w:t>Қан кету</w:t>
      </w:r>
    </w:p>
    <w:p w14:paraId="6A0FBC7D" w14:textId="77777777" w:rsidR="00D91FB4" w:rsidRPr="00996810" w:rsidRDefault="002541C1" w:rsidP="00D91FB4">
      <w:pPr>
        <w:autoSpaceDE w:val="0"/>
        <w:autoSpaceDN w:val="0"/>
        <w:adjustRightInd w:val="0"/>
        <w:spacing w:after="0" w:line="240" w:lineRule="auto"/>
        <w:jc w:val="both"/>
        <w:rPr>
          <w:rFonts w:ascii="Times New Roman" w:eastAsia="Calibri" w:hAnsi="Times New Roman" w:cs="Times New Roman"/>
          <w:bCs/>
          <w:sz w:val="24"/>
          <w:szCs w:val="24"/>
          <w:lang w:val="kk"/>
        </w:rPr>
      </w:pPr>
      <w:r w:rsidRPr="00996810">
        <w:rPr>
          <w:rFonts w:ascii="Times New Roman" w:eastAsia="Calibri" w:hAnsi="Times New Roman" w:cs="Times New Roman"/>
          <w:bCs/>
          <w:sz w:val="24"/>
          <w:szCs w:val="24"/>
          <w:lang w:val="kk"/>
        </w:rPr>
        <w:t>Анағұрлым жиі кездескен жағымсыз құбылыстар қан кетулер болды. Оларға 4,2% пациентте (хирургиялық  пациенттерде) байқалған  ауқымды қан кетулер жатады. Бұл жағдайлардың кейбіреулері өлімге соқтырған. Хирургиялық пациенттерде қан кетулер ауқымды деп саналды:</w:t>
      </w:r>
    </w:p>
    <w:p w14:paraId="78BEF208" w14:textId="77777777" w:rsidR="00D91FB4" w:rsidRPr="00996810" w:rsidRDefault="002541C1" w:rsidP="009C1CA3">
      <w:pPr>
        <w:spacing w:after="0" w:line="240" w:lineRule="auto"/>
        <w:rPr>
          <w:rFonts w:ascii="Times New Roman" w:eastAsia="Times New Roman" w:hAnsi="Times New Roman" w:cs="Times New Roman"/>
          <w:bCs/>
          <w:sz w:val="24"/>
          <w:szCs w:val="24"/>
          <w:lang w:val="kk" w:eastAsia="hu-HU"/>
        </w:rPr>
      </w:pPr>
      <w:r w:rsidRPr="00996810">
        <w:rPr>
          <w:rFonts w:ascii="Times New Roman" w:eastAsia="Times New Roman" w:hAnsi="Times New Roman" w:cs="Times New Roman"/>
          <w:bCs/>
          <w:sz w:val="24"/>
          <w:szCs w:val="24"/>
          <w:lang w:val="kk" w:eastAsia="hu-HU"/>
        </w:rPr>
        <w:t xml:space="preserve">- егер қан кетуден елеулі клиникалық оқиға туындаса </w:t>
      </w:r>
    </w:p>
    <w:p w14:paraId="505808F4" w14:textId="77777777" w:rsidR="00D91FB4" w:rsidRPr="00996810" w:rsidRDefault="002541C1" w:rsidP="009C1CA3">
      <w:pPr>
        <w:spacing w:after="0" w:line="240" w:lineRule="auto"/>
        <w:jc w:val="both"/>
        <w:rPr>
          <w:rFonts w:ascii="Times New Roman" w:eastAsia="Times New Roman" w:hAnsi="Times New Roman" w:cs="Times New Roman"/>
          <w:bCs/>
          <w:sz w:val="24"/>
          <w:szCs w:val="24"/>
          <w:lang w:val="kk" w:eastAsia="hu-HU"/>
        </w:rPr>
      </w:pPr>
      <w:r w:rsidRPr="00996810">
        <w:rPr>
          <w:rFonts w:ascii="Times New Roman" w:eastAsia="Times New Roman" w:hAnsi="Times New Roman" w:cs="Times New Roman"/>
          <w:bCs/>
          <w:sz w:val="24"/>
          <w:szCs w:val="24"/>
          <w:lang w:val="kk" w:eastAsia="hu-HU"/>
        </w:rPr>
        <w:t>- гемоглобин деңгейінің ≥ 2 г/дл деңгейге дейін төмендеуінде немесе 2 литр немесе одан көп қан құюда</w:t>
      </w:r>
    </w:p>
    <w:p w14:paraId="5C5C4FC8" w14:textId="77777777" w:rsidR="00D91FB4" w:rsidRPr="00996810" w:rsidRDefault="002541C1" w:rsidP="009C1CA3">
      <w:pPr>
        <w:spacing w:after="0" w:line="240" w:lineRule="auto"/>
        <w:rPr>
          <w:rFonts w:ascii="Times New Roman" w:eastAsia="Calibri" w:hAnsi="Times New Roman" w:cs="Times New Roman"/>
          <w:bCs/>
          <w:sz w:val="24"/>
          <w:szCs w:val="24"/>
          <w:lang w:val="kk"/>
        </w:rPr>
      </w:pPr>
      <w:r w:rsidRPr="00996810">
        <w:rPr>
          <w:rFonts w:ascii="Times New Roman" w:eastAsia="Calibri" w:hAnsi="Times New Roman" w:cs="Times New Roman"/>
          <w:bCs/>
          <w:sz w:val="24"/>
          <w:szCs w:val="24"/>
          <w:lang w:val="kk"/>
        </w:rPr>
        <w:t>- ішпердеартылық немесе бассүйекішілік қан кетуде</w:t>
      </w:r>
    </w:p>
    <w:p w14:paraId="5C6D8F02" w14:textId="77777777" w:rsidR="00C201B3" w:rsidRPr="00996810" w:rsidRDefault="002541C1" w:rsidP="00D91FB4">
      <w:pPr>
        <w:spacing w:after="0" w:line="240" w:lineRule="auto"/>
        <w:jc w:val="both"/>
        <w:rPr>
          <w:rFonts w:ascii="Times New Roman" w:eastAsia="Calibri" w:hAnsi="Times New Roman" w:cs="Times New Roman"/>
          <w:bCs/>
          <w:sz w:val="24"/>
          <w:szCs w:val="24"/>
          <w:lang w:val="kk"/>
        </w:rPr>
      </w:pPr>
      <w:r w:rsidRPr="00996810">
        <w:rPr>
          <w:rFonts w:ascii="Times New Roman" w:eastAsia="Calibri" w:hAnsi="Times New Roman" w:cs="Times New Roman"/>
          <w:bCs/>
          <w:sz w:val="24"/>
          <w:szCs w:val="24"/>
          <w:lang w:val="kk"/>
        </w:rPr>
        <w:t>Басқа антикоагулянттар жағдайындағы сияқты, қан кету солармен байланысты келесі қауіп факторлары болған жағдайда туындауы мүмкін:</w:t>
      </w:r>
    </w:p>
    <w:p w14:paraId="72143A62" w14:textId="77777777" w:rsidR="00D91FB4" w:rsidRPr="00996810" w:rsidRDefault="002541C1" w:rsidP="009C1CA3">
      <w:pPr>
        <w:spacing w:after="0" w:line="240" w:lineRule="auto"/>
        <w:rPr>
          <w:rFonts w:ascii="Times New Roman" w:eastAsia="Calibri" w:hAnsi="Times New Roman" w:cs="Times New Roman"/>
          <w:bCs/>
          <w:sz w:val="24"/>
          <w:szCs w:val="24"/>
          <w:lang w:val="kk"/>
        </w:rPr>
      </w:pPr>
      <w:r w:rsidRPr="00996810">
        <w:rPr>
          <w:rFonts w:ascii="Times New Roman" w:eastAsia="Calibri" w:hAnsi="Times New Roman" w:cs="Times New Roman"/>
          <w:bCs/>
          <w:sz w:val="24"/>
          <w:szCs w:val="24"/>
          <w:lang w:val="kk"/>
        </w:rPr>
        <w:t xml:space="preserve">- қанағыштыққа бейім органикалық зақымданулар  </w:t>
      </w:r>
    </w:p>
    <w:p w14:paraId="0D10A8B5" w14:textId="77777777" w:rsidR="00D91FB4" w:rsidRPr="00996810" w:rsidRDefault="002541C1" w:rsidP="009C1CA3">
      <w:pPr>
        <w:spacing w:after="0" w:line="240" w:lineRule="auto"/>
        <w:jc w:val="both"/>
        <w:rPr>
          <w:rFonts w:ascii="Times New Roman" w:eastAsia="Calibri" w:hAnsi="Times New Roman" w:cs="Times New Roman"/>
          <w:bCs/>
          <w:sz w:val="24"/>
          <w:szCs w:val="24"/>
          <w:lang w:val="kk"/>
        </w:rPr>
      </w:pPr>
      <w:r w:rsidRPr="00996810">
        <w:rPr>
          <w:rFonts w:ascii="Times New Roman" w:eastAsia="Calibri" w:hAnsi="Times New Roman" w:cs="Times New Roman"/>
          <w:bCs/>
          <w:sz w:val="24"/>
          <w:szCs w:val="24"/>
          <w:lang w:val="kk"/>
        </w:rPr>
        <w:t>- инвазивтік емшаралар немесе гемостазға әсер ететін дәрілерді қатарлас қолдану (4.4 және 4.5-бөлімді қараңыз).</w:t>
      </w:r>
    </w:p>
    <w:tbl>
      <w:tblPr>
        <w:tblStyle w:val="aa"/>
        <w:tblW w:w="0" w:type="auto"/>
        <w:tblLook w:val="04A0" w:firstRow="1" w:lastRow="0" w:firstColumn="1" w:lastColumn="0" w:noHBand="0" w:noVBand="1"/>
      </w:tblPr>
      <w:tblGrid>
        <w:gridCol w:w="826"/>
        <w:gridCol w:w="1441"/>
        <w:gridCol w:w="1206"/>
        <w:gridCol w:w="1640"/>
        <w:gridCol w:w="1479"/>
        <w:gridCol w:w="1441"/>
        <w:gridCol w:w="1254"/>
      </w:tblGrid>
      <w:tr w:rsidR="00F05490" w:rsidRPr="00996810" w14:paraId="2897D946" w14:textId="77777777" w:rsidTr="003B2461">
        <w:tc>
          <w:tcPr>
            <w:tcW w:w="1326" w:type="dxa"/>
          </w:tcPr>
          <w:p w14:paraId="5324D8D5"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t>Жүйелік-ағзалық класс</w:t>
            </w:r>
          </w:p>
        </w:tc>
        <w:tc>
          <w:tcPr>
            <w:tcW w:w="1192" w:type="dxa"/>
          </w:tcPr>
          <w:p w14:paraId="479F3C3E"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t>Хирургиялық науқастардағы профилактика</w:t>
            </w:r>
          </w:p>
        </w:tc>
        <w:tc>
          <w:tcPr>
            <w:tcW w:w="1822" w:type="dxa"/>
          </w:tcPr>
          <w:p w14:paraId="42D700B2"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t xml:space="preserve">Медициналық пациенттердегі профилактика </w:t>
            </w:r>
          </w:p>
        </w:tc>
        <w:tc>
          <w:tcPr>
            <w:tcW w:w="1411" w:type="dxa"/>
          </w:tcPr>
          <w:p w14:paraId="4D429543"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t>Өкпе артериясының тромбоэмболиясымен немесе онсыз тереңдегі веналар тромбозы бар пациенттерді  емдеу</w:t>
            </w:r>
          </w:p>
        </w:tc>
        <w:tc>
          <w:tcPr>
            <w:tcW w:w="1337" w:type="dxa"/>
          </w:tcPr>
          <w:p w14:paraId="0E651B10" w14:textId="77777777" w:rsidR="004B5DDA" w:rsidRPr="00996810" w:rsidRDefault="002541C1" w:rsidP="004B5DDA">
            <w:pPr>
              <w:spacing w:after="0" w:line="240" w:lineRule="auto"/>
              <w:jc w:val="both"/>
              <w:rPr>
                <w:rFonts w:ascii="Times New Roman" w:hAnsi="Times New Roman"/>
                <w:b/>
                <w:sz w:val="24"/>
                <w:szCs w:val="24"/>
              </w:rPr>
            </w:pPr>
            <w:r w:rsidRPr="00996810">
              <w:rPr>
                <w:rFonts w:ascii="Times New Roman" w:hAnsi="Times New Roman"/>
                <w:b/>
                <w:sz w:val="24"/>
                <w:szCs w:val="24"/>
                <w:lang w:val="kk"/>
              </w:rPr>
              <w:t xml:space="preserve">Тереңдегі веналар тромбозын (ТВТ) және </w:t>
            </w:r>
          </w:p>
          <w:p w14:paraId="57CBE19E" w14:textId="77777777" w:rsidR="004B5DDA" w:rsidRPr="00996810" w:rsidRDefault="002541C1" w:rsidP="004B5DDA">
            <w:pPr>
              <w:spacing w:after="0" w:line="240" w:lineRule="auto"/>
              <w:jc w:val="both"/>
              <w:rPr>
                <w:rFonts w:ascii="Times New Roman" w:hAnsi="Times New Roman"/>
                <w:b/>
                <w:sz w:val="24"/>
                <w:szCs w:val="24"/>
              </w:rPr>
            </w:pPr>
            <w:r w:rsidRPr="00996810">
              <w:rPr>
                <w:rFonts w:ascii="Times New Roman" w:hAnsi="Times New Roman"/>
                <w:b/>
                <w:sz w:val="24"/>
                <w:szCs w:val="24"/>
                <w:lang w:val="kk"/>
              </w:rPr>
              <w:t xml:space="preserve">өкпе артериясының тромбоэмболиясын (ӨАТЭ) ұзақ уақыт емдеу және белсенді обыры бар пациенттерде олардың </w:t>
            </w:r>
            <w:r w:rsidRPr="00996810">
              <w:rPr>
                <w:rFonts w:ascii="Times New Roman" w:hAnsi="Times New Roman"/>
                <w:b/>
                <w:sz w:val="24"/>
                <w:szCs w:val="24"/>
                <w:lang w:val="kk"/>
              </w:rPr>
              <w:lastRenderedPageBreak/>
              <w:t>рецидивтерінің</w:t>
            </w:r>
          </w:p>
          <w:p w14:paraId="439B5C11" w14:textId="77777777" w:rsidR="00C201B3" w:rsidRPr="00996810" w:rsidRDefault="002541C1" w:rsidP="004B5DDA">
            <w:pPr>
              <w:spacing w:after="0" w:line="240" w:lineRule="auto"/>
              <w:jc w:val="both"/>
              <w:rPr>
                <w:rFonts w:ascii="Times New Roman" w:hAnsi="Times New Roman"/>
                <w:b/>
                <w:sz w:val="24"/>
                <w:szCs w:val="24"/>
              </w:rPr>
            </w:pPr>
            <w:r w:rsidRPr="00996810">
              <w:rPr>
                <w:rFonts w:ascii="Times New Roman" w:hAnsi="Times New Roman"/>
                <w:b/>
                <w:sz w:val="24"/>
                <w:szCs w:val="24"/>
                <w:lang w:val="kk"/>
              </w:rPr>
              <w:t>профилактикасы</w:t>
            </w:r>
          </w:p>
        </w:tc>
        <w:tc>
          <w:tcPr>
            <w:tcW w:w="1196" w:type="dxa"/>
          </w:tcPr>
          <w:p w14:paraId="3A27C0B5"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lastRenderedPageBreak/>
              <w:t xml:space="preserve">Тұрақсыз стенокардиясы және  Q тісшесінсіз миокард инфарктісі бар пациенттерді емдеу </w:t>
            </w:r>
          </w:p>
        </w:tc>
        <w:tc>
          <w:tcPr>
            <w:tcW w:w="1003" w:type="dxa"/>
          </w:tcPr>
          <w:p w14:paraId="2218B300"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t>ST сегменті көтерілген жедел миокард инфарктісі бар пациенттерді емдеу</w:t>
            </w:r>
          </w:p>
        </w:tc>
      </w:tr>
      <w:tr w:rsidR="00F05490" w:rsidRPr="00996810" w14:paraId="6652829A" w14:textId="77777777" w:rsidTr="003B2461">
        <w:tc>
          <w:tcPr>
            <w:tcW w:w="1326" w:type="dxa"/>
          </w:tcPr>
          <w:p w14:paraId="647716D6" w14:textId="77777777" w:rsidR="00C201B3"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Қан және лимфа жүйесінің аурулары</w:t>
            </w:r>
          </w:p>
        </w:tc>
        <w:tc>
          <w:tcPr>
            <w:tcW w:w="1192" w:type="dxa"/>
          </w:tcPr>
          <w:p w14:paraId="47B409BA" w14:textId="77777777" w:rsidR="00C201B3" w:rsidRPr="00996810" w:rsidRDefault="002541C1" w:rsidP="00C201B3">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Өте жиі:</w:t>
            </w:r>
          </w:p>
          <w:p w14:paraId="60E5F351" w14:textId="77777777" w:rsidR="00C201B3" w:rsidRPr="00996810" w:rsidRDefault="002541C1" w:rsidP="00C201B3">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 xml:space="preserve">Қан кету </w:t>
            </w:r>
            <w:r w:rsidRPr="00996810">
              <w:rPr>
                <w:rFonts w:ascii="Times New Roman" w:hAnsi="Times New Roman"/>
                <w:bCs/>
                <w:sz w:val="24"/>
                <w:szCs w:val="24"/>
                <w:vertAlign w:val="superscript"/>
                <w:lang w:val="kk"/>
              </w:rPr>
              <w:t>а</w:t>
            </w:r>
          </w:p>
          <w:p w14:paraId="70B466F4" w14:textId="77777777" w:rsidR="00C201B3" w:rsidRPr="00996810" w:rsidRDefault="002541C1" w:rsidP="00C201B3">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Сирек:</w:t>
            </w:r>
          </w:p>
          <w:p w14:paraId="53DE9A7F" w14:textId="77777777" w:rsidR="00C201B3"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Ретроперитонеальді қан кету</w:t>
            </w:r>
          </w:p>
        </w:tc>
        <w:tc>
          <w:tcPr>
            <w:tcW w:w="1822" w:type="dxa"/>
          </w:tcPr>
          <w:p w14:paraId="1DD9DDB8" w14:textId="77777777" w:rsidR="00C201B3" w:rsidRPr="00996810" w:rsidRDefault="002541C1" w:rsidP="00C201B3">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Жиі:</w:t>
            </w:r>
          </w:p>
          <w:p w14:paraId="4A1B9EAE" w14:textId="77777777" w:rsidR="00C201B3"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 xml:space="preserve">қан кету </w:t>
            </w:r>
            <w:r w:rsidRPr="00996810">
              <w:rPr>
                <w:rFonts w:ascii="Times New Roman" w:hAnsi="Times New Roman"/>
                <w:bCs/>
                <w:sz w:val="24"/>
                <w:szCs w:val="24"/>
                <w:vertAlign w:val="superscript"/>
                <w:lang w:val="kk"/>
              </w:rPr>
              <w:t>а</w:t>
            </w:r>
          </w:p>
        </w:tc>
        <w:tc>
          <w:tcPr>
            <w:tcW w:w="1411" w:type="dxa"/>
          </w:tcPr>
          <w:p w14:paraId="20A353F4" w14:textId="77777777" w:rsidR="003B2461" w:rsidRPr="00996810" w:rsidRDefault="002541C1" w:rsidP="003B2461">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Өте жиі:</w:t>
            </w:r>
          </w:p>
          <w:p w14:paraId="34D869D8" w14:textId="77777777" w:rsidR="003B2461" w:rsidRPr="00996810" w:rsidRDefault="002541C1" w:rsidP="003B2461">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 xml:space="preserve">Қан кету </w:t>
            </w:r>
            <w:r w:rsidRPr="00996810">
              <w:rPr>
                <w:rFonts w:ascii="Times New Roman" w:hAnsi="Times New Roman"/>
                <w:bCs/>
                <w:sz w:val="24"/>
                <w:szCs w:val="24"/>
                <w:vertAlign w:val="superscript"/>
                <w:lang w:val="kk"/>
              </w:rPr>
              <w:t>а</w:t>
            </w:r>
          </w:p>
          <w:p w14:paraId="6D6151C4" w14:textId="77777777" w:rsidR="00C201B3"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i/>
                <w:iCs/>
                <w:sz w:val="24"/>
                <w:szCs w:val="24"/>
                <w:lang w:val="kk"/>
              </w:rPr>
              <w:t>Жиі емес:</w:t>
            </w:r>
            <w:r w:rsidRPr="00996810">
              <w:rPr>
                <w:rFonts w:ascii="Times New Roman" w:hAnsi="Times New Roman"/>
                <w:bCs/>
                <w:sz w:val="24"/>
                <w:szCs w:val="24"/>
                <w:lang w:val="kk"/>
              </w:rPr>
              <w:t xml:space="preserve"> Бассүйекішілік қан кету, Ішпердеартылық қан кету</w:t>
            </w:r>
          </w:p>
        </w:tc>
        <w:tc>
          <w:tcPr>
            <w:tcW w:w="1337" w:type="dxa"/>
          </w:tcPr>
          <w:p w14:paraId="498AC549" w14:textId="77777777" w:rsidR="003B2461" w:rsidRPr="00996810" w:rsidRDefault="002541C1" w:rsidP="003B2461">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 xml:space="preserve">Жиі </w:t>
            </w:r>
            <w:r w:rsidRPr="00996810">
              <w:rPr>
                <w:rFonts w:ascii="Times New Roman" w:hAnsi="Times New Roman"/>
                <w:bCs/>
                <w:i/>
                <w:iCs/>
                <w:sz w:val="24"/>
                <w:szCs w:val="24"/>
                <w:vertAlign w:val="superscript"/>
                <w:lang w:val="kk"/>
              </w:rPr>
              <w:t>b</w:t>
            </w:r>
            <w:r w:rsidRPr="00996810">
              <w:rPr>
                <w:rFonts w:ascii="Times New Roman" w:hAnsi="Times New Roman"/>
                <w:bCs/>
                <w:i/>
                <w:iCs/>
                <w:sz w:val="24"/>
                <w:szCs w:val="24"/>
                <w:lang w:val="kk"/>
              </w:rPr>
              <w:t>:</w:t>
            </w:r>
          </w:p>
          <w:p w14:paraId="6BBF6FBD" w14:textId="77777777" w:rsidR="00C201B3"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қан кету</w:t>
            </w:r>
          </w:p>
        </w:tc>
        <w:tc>
          <w:tcPr>
            <w:tcW w:w="1196" w:type="dxa"/>
          </w:tcPr>
          <w:p w14:paraId="2A2E86EB" w14:textId="77777777" w:rsidR="003B2461" w:rsidRPr="00996810" w:rsidRDefault="002541C1" w:rsidP="003B2461">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Жиі:</w:t>
            </w:r>
          </w:p>
          <w:p w14:paraId="55FAB684" w14:textId="77777777" w:rsidR="00C201B3" w:rsidRPr="00996810" w:rsidRDefault="002541C1" w:rsidP="003B2461">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 xml:space="preserve">қан кету </w:t>
            </w:r>
            <w:r w:rsidRPr="00996810">
              <w:rPr>
                <w:rFonts w:ascii="Times New Roman" w:hAnsi="Times New Roman"/>
                <w:bCs/>
                <w:sz w:val="24"/>
                <w:szCs w:val="24"/>
                <w:vertAlign w:val="superscript"/>
                <w:lang w:val="kk"/>
              </w:rPr>
              <w:t>а</w:t>
            </w:r>
          </w:p>
          <w:p w14:paraId="0E38DB4B" w14:textId="77777777" w:rsidR="003B2461" w:rsidRPr="00996810" w:rsidRDefault="002541C1" w:rsidP="003B2461">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Сирек:</w:t>
            </w:r>
          </w:p>
          <w:p w14:paraId="364190F5" w14:textId="77777777" w:rsidR="003B2461" w:rsidRPr="00996810" w:rsidRDefault="002541C1" w:rsidP="003B2461">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Ретроперитонеальді қан кету</w:t>
            </w:r>
          </w:p>
        </w:tc>
        <w:tc>
          <w:tcPr>
            <w:tcW w:w="1003" w:type="dxa"/>
          </w:tcPr>
          <w:p w14:paraId="0C62D023" w14:textId="77777777" w:rsidR="003B2461" w:rsidRPr="00996810" w:rsidRDefault="002541C1" w:rsidP="003B2461">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 xml:space="preserve">Жиі </w:t>
            </w:r>
            <w:r w:rsidRPr="00996810">
              <w:rPr>
                <w:rFonts w:ascii="Times New Roman" w:hAnsi="Times New Roman"/>
                <w:bCs/>
                <w:i/>
                <w:iCs/>
                <w:sz w:val="24"/>
                <w:szCs w:val="24"/>
                <w:vertAlign w:val="superscript"/>
                <w:lang w:val="kk"/>
              </w:rPr>
              <w:t>b</w:t>
            </w:r>
            <w:r w:rsidRPr="00996810">
              <w:rPr>
                <w:rFonts w:ascii="Times New Roman" w:hAnsi="Times New Roman"/>
                <w:bCs/>
                <w:i/>
                <w:iCs/>
                <w:sz w:val="24"/>
                <w:szCs w:val="24"/>
                <w:lang w:val="kk"/>
              </w:rPr>
              <w:t>:</w:t>
            </w:r>
          </w:p>
          <w:p w14:paraId="45D78CFB" w14:textId="77777777" w:rsidR="00C201B3" w:rsidRPr="00996810" w:rsidRDefault="002541C1" w:rsidP="003B2461">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Қан кету</w:t>
            </w:r>
          </w:p>
          <w:p w14:paraId="794850D9" w14:textId="77777777" w:rsidR="003B2461" w:rsidRPr="00996810" w:rsidRDefault="002541C1" w:rsidP="003B2461">
            <w:pPr>
              <w:spacing w:after="0" w:line="240" w:lineRule="auto"/>
              <w:jc w:val="both"/>
              <w:rPr>
                <w:rFonts w:ascii="Times New Roman" w:hAnsi="Times New Roman"/>
                <w:bCs/>
                <w:sz w:val="24"/>
                <w:szCs w:val="24"/>
              </w:rPr>
            </w:pPr>
            <w:r w:rsidRPr="00996810">
              <w:rPr>
                <w:rFonts w:ascii="Times New Roman" w:hAnsi="Times New Roman"/>
                <w:bCs/>
                <w:i/>
                <w:iCs/>
                <w:sz w:val="24"/>
                <w:szCs w:val="24"/>
                <w:lang w:val="kk"/>
              </w:rPr>
              <w:t>Жиі емес:</w:t>
            </w:r>
            <w:r w:rsidRPr="00996810">
              <w:rPr>
                <w:rFonts w:ascii="Times New Roman" w:hAnsi="Times New Roman"/>
                <w:bCs/>
                <w:sz w:val="24"/>
                <w:szCs w:val="24"/>
                <w:lang w:val="kk"/>
              </w:rPr>
              <w:t xml:space="preserve"> Бассүйекішілік қан кету, Ішпердеартылық қан кету</w:t>
            </w:r>
          </w:p>
        </w:tc>
      </w:tr>
    </w:tbl>
    <w:p w14:paraId="06692BD6" w14:textId="77777777" w:rsidR="00C201B3" w:rsidRPr="00996810" w:rsidRDefault="002541C1" w:rsidP="00C201B3">
      <w:pPr>
        <w:spacing w:after="0" w:line="240" w:lineRule="auto"/>
        <w:jc w:val="both"/>
        <w:rPr>
          <w:rFonts w:ascii="Times New Roman" w:eastAsia="Calibri" w:hAnsi="Times New Roman" w:cs="Times New Roman"/>
          <w:bCs/>
          <w:sz w:val="20"/>
          <w:szCs w:val="20"/>
        </w:rPr>
      </w:pPr>
      <w:r w:rsidRPr="00996810">
        <w:rPr>
          <w:rFonts w:ascii="Times New Roman" w:eastAsia="Calibri" w:hAnsi="Times New Roman" w:cs="Times New Roman"/>
          <w:bCs/>
          <w:sz w:val="20"/>
          <w:szCs w:val="20"/>
          <w:vertAlign w:val="superscript"/>
          <w:lang w:val="kk"/>
        </w:rPr>
        <w:t>а</w:t>
      </w:r>
      <w:r w:rsidRPr="00996810">
        <w:rPr>
          <w:rFonts w:ascii="Times New Roman" w:eastAsia="Calibri" w:hAnsi="Times New Roman" w:cs="Times New Roman"/>
          <w:bCs/>
          <w:sz w:val="20"/>
          <w:szCs w:val="20"/>
          <w:lang w:val="kk"/>
        </w:rPr>
        <w:t xml:space="preserve"> инъекция орнындағы қанталаудан басқа гематома, экхимоз,  жарақат гематомасы, гематурия, мұрыннан қан кету және асқазан-ішектен қан кету</w:t>
      </w:r>
    </w:p>
    <w:p w14:paraId="0BC354B6" w14:textId="77777777" w:rsidR="00E453E7" w:rsidRPr="00996810" w:rsidRDefault="002541C1" w:rsidP="00C201B3">
      <w:pPr>
        <w:spacing w:after="0" w:line="240" w:lineRule="auto"/>
        <w:jc w:val="both"/>
        <w:rPr>
          <w:rFonts w:ascii="Times New Roman" w:eastAsia="Calibri" w:hAnsi="Times New Roman" w:cs="Times New Roman"/>
          <w:bCs/>
          <w:sz w:val="20"/>
          <w:szCs w:val="20"/>
        </w:rPr>
      </w:pPr>
      <w:r w:rsidRPr="00996810">
        <w:rPr>
          <w:rFonts w:ascii="Times New Roman" w:eastAsia="Calibri" w:hAnsi="Times New Roman" w:cs="Times New Roman"/>
          <w:bCs/>
          <w:sz w:val="20"/>
          <w:szCs w:val="20"/>
          <w:vertAlign w:val="superscript"/>
          <w:lang w:val="kk"/>
        </w:rPr>
        <w:t>b</w:t>
      </w:r>
      <w:r w:rsidRPr="00996810">
        <w:rPr>
          <w:rFonts w:ascii="Times New Roman" w:eastAsia="Calibri" w:hAnsi="Times New Roman" w:cs="Times New Roman"/>
          <w:bCs/>
          <w:sz w:val="20"/>
          <w:szCs w:val="20"/>
          <w:lang w:val="kk"/>
        </w:rPr>
        <w:t xml:space="preserve"> жиілік 3526 пациентті қамтитын тіркелімді ретроспективті зерттеуге негізделген (5.1-бөлімді қараңыз)  </w:t>
      </w:r>
    </w:p>
    <w:p w14:paraId="5F9584C9" w14:textId="77777777" w:rsidR="00E453E7" w:rsidRPr="00996810" w:rsidRDefault="002541C1" w:rsidP="00C201B3">
      <w:pPr>
        <w:spacing w:after="0" w:line="240" w:lineRule="auto"/>
        <w:jc w:val="both"/>
        <w:rPr>
          <w:rFonts w:ascii="Times New Roman" w:eastAsia="Calibri" w:hAnsi="Times New Roman" w:cs="Times New Roman"/>
          <w:bCs/>
          <w:i/>
          <w:iCs/>
          <w:sz w:val="24"/>
          <w:szCs w:val="24"/>
        </w:rPr>
      </w:pPr>
      <w:r w:rsidRPr="00996810">
        <w:rPr>
          <w:rFonts w:ascii="Times New Roman" w:eastAsia="Calibri" w:hAnsi="Times New Roman" w:cs="Times New Roman"/>
          <w:bCs/>
          <w:i/>
          <w:iCs/>
          <w:sz w:val="24"/>
          <w:szCs w:val="24"/>
          <w:lang w:val="kk"/>
        </w:rPr>
        <w:t>Тромбоцитопения және тромбоцитоз (4.4-бөлімді қараңыз, тромбоциттер санына мониторинг жүргізу)</w:t>
      </w:r>
    </w:p>
    <w:tbl>
      <w:tblPr>
        <w:tblStyle w:val="aa"/>
        <w:tblW w:w="0" w:type="auto"/>
        <w:tblLook w:val="04A0" w:firstRow="1" w:lastRow="0" w:firstColumn="1" w:lastColumn="0" w:noHBand="0" w:noVBand="1"/>
      </w:tblPr>
      <w:tblGrid>
        <w:gridCol w:w="816"/>
        <w:gridCol w:w="1308"/>
        <w:gridCol w:w="1308"/>
        <w:gridCol w:w="1614"/>
        <w:gridCol w:w="1456"/>
        <w:gridCol w:w="1308"/>
        <w:gridCol w:w="1477"/>
      </w:tblGrid>
      <w:tr w:rsidR="00F05490" w:rsidRPr="00996810" w14:paraId="61B52D9C" w14:textId="77777777" w:rsidTr="00F10F8C">
        <w:tc>
          <w:tcPr>
            <w:tcW w:w="1152" w:type="dxa"/>
          </w:tcPr>
          <w:p w14:paraId="0613F57B"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Жүйелік-ағзалық класс</w:t>
            </w:r>
          </w:p>
        </w:tc>
        <w:tc>
          <w:tcPr>
            <w:tcW w:w="1312" w:type="dxa"/>
          </w:tcPr>
          <w:p w14:paraId="46BD16B9"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Хирургиялық науқастардағы профилактика</w:t>
            </w:r>
          </w:p>
        </w:tc>
        <w:tc>
          <w:tcPr>
            <w:tcW w:w="1312" w:type="dxa"/>
          </w:tcPr>
          <w:p w14:paraId="5F1D8308"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 xml:space="preserve">Медициналық пациенттердегі профилактика </w:t>
            </w:r>
          </w:p>
        </w:tc>
        <w:tc>
          <w:tcPr>
            <w:tcW w:w="1312" w:type="dxa"/>
          </w:tcPr>
          <w:p w14:paraId="0A38C338"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Өкпе артериясының тромбоэмболиясымен немесе онсыз тереңдегі веналар тромбозы бар пациенттерді  емдеу</w:t>
            </w:r>
          </w:p>
        </w:tc>
        <w:tc>
          <w:tcPr>
            <w:tcW w:w="1312" w:type="dxa"/>
          </w:tcPr>
          <w:p w14:paraId="3EA5F1BE" w14:textId="77777777" w:rsidR="00E453E7" w:rsidRPr="00996810" w:rsidRDefault="002541C1" w:rsidP="002541C1">
            <w:pPr>
              <w:spacing w:after="0" w:line="240" w:lineRule="auto"/>
              <w:jc w:val="both"/>
              <w:rPr>
                <w:rFonts w:ascii="Times New Roman" w:hAnsi="Times New Roman"/>
                <w:b/>
                <w:sz w:val="24"/>
                <w:szCs w:val="24"/>
              </w:rPr>
            </w:pPr>
            <w:r w:rsidRPr="00996810">
              <w:rPr>
                <w:rFonts w:ascii="Times New Roman" w:hAnsi="Times New Roman"/>
                <w:b/>
                <w:sz w:val="24"/>
                <w:szCs w:val="24"/>
                <w:lang w:val="kk"/>
              </w:rPr>
              <w:t>Белсенді обыры бар пациенттерде терең</w:t>
            </w:r>
            <w:r w:rsidRPr="00996810">
              <w:rPr>
                <w:rFonts w:ascii="Times New Roman" w:hAnsi="Times New Roman"/>
                <w:b/>
                <w:sz w:val="24"/>
                <w:szCs w:val="24"/>
                <w:lang w:val="kk-KZ"/>
              </w:rPr>
              <w:t>дегі</w:t>
            </w:r>
            <w:r w:rsidRPr="00996810">
              <w:rPr>
                <w:rFonts w:ascii="Times New Roman" w:hAnsi="Times New Roman"/>
                <w:b/>
                <w:sz w:val="24"/>
                <w:szCs w:val="24"/>
                <w:lang w:val="kk"/>
              </w:rPr>
              <w:t xml:space="preserve"> вен</w:t>
            </w:r>
            <w:r w:rsidRPr="00996810">
              <w:rPr>
                <w:rFonts w:ascii="Times New Roman" w:hAnsi="Times New Roman"/>
                <w:b/>
                <w:sz w:val="24"/>
                <w:szCs w:val="24"/>
                <w:lang w:val="kk-KZ"/>
              </w:rPr>
              <w:t>алар</w:t>
            </w:r>
            <w:r w:rsidRPr="00996810">
              <w:rPr>
                <w:rFonts w:ascii="Times New Roman" w:hAnsi="Times New Roman"/>
                <w:b/>
                <w:sz w:val="24"/>
                <w:szCs w:val="24"/>
                <w:lang w:val="kk"/>
              </w:rPr>
              <w:t xml:space="preserve"> тромбоз</w:t>
            </w:r>
            <w:r w:rsidRPr="00996810">
              <w:rPr>
                <w:rFonts w:ascii="Times New Roman" w:hAnsi="Times New Roman"/>
                <w:b/>
                <w:sz w:val="24"/>
                <w:szCs w:val="24"/>
                <w:lang w:val="kk-KZ"/>
              </w:rPr>
              <w:t>ын</w:t>
            </w:r>
            <w:r w:rsidRPr="00996810">
              <w:rPr>
                <w:rFonts w:ascii="Times New Roman" w:hAnsi="Times New Roman"/>
                <w:b/>
                <w:sz w:val="24"/>
                <w:szCs w:val="24"/>
                <w:lang w:val="kk"/>
              </w:rPr>
              <w:t xml:space="preserve"> (ТВТ) және өкпе артериясының тромбоэмболиясын кеңейтілген емдеу </w:t>
            </w:r>
          </w:p>
        </w:tc>
        <w:tc>
          <w:tcPr>
            <w:tcW w:w="1312" w:type="dxa"/>
          </w:tcPr>
          <w:p w14:paraId="7F37DAEA"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 xml:space="preserve">Тұрақсыз стенокардиясы және  Q тісшесінсіз миокард инфарктісі бар пациенттерді емдеу </w:t>
            </w:r>
          </w:p>
        </w:tc>
        <w:tc>
          <w:tcPr>
            <w:tcW w:w="1575" w:type="dxa"/>
          </w:tcPr>
          <w:p w14:paraId="1CD63B7F"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ST сегменті көтерілген жедел миокард инфарктісі бар пациенттерді емдеу</w:t>
            </w:r>
          </w:p>
        </w:tc>
      </w:tr>
      <w:tr w:rsidR="00F05490" w:rsidRPr="00996810" w14:paraId="092EC5E8" w14:textId="77777777" w:rsidTr="00F10F8C">
        <w:tc>
          <w:tcPr>
            <w:tcW w:w="1152" w:type="dxa"/>
          </w:tcPr>
          <w:p w14:paraId="7EA39588" w14:textId="77777777" w:rsidR="00E453E7"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Қан және лимфа жүйесінің аурулары</w:t>
            </w:r>
          </w:p>
        </w:tc>
        <w:tc>
          <w:tcPr>
            <w:tcW w:w="1312" w:type="dxa"/>
          </w:tcPr>
          <w:p w14:paraId="64AC76C5"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Өте жиі:</w:t>
            </w:r>
          </w:p>
          <w:p w14:paraId="475540DA" w14:textId="77777777" w:rsidR="00E453E7" w:rsidRPr="00996810" w:rsidRDefault="002541C1" w:rsidP="00E453E7">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Тромбоцитоз</w:t>
            </w:r>
            <w:r w:rsidRPr="00996810">
              <w:rPr>
                <w:rFonts w:ascii="Times New Roman" w:hAnsi="Times New Roman"/>
                <w:bCs/>
                <w:sz w:val="24"/>
                <w:szCs w:val="24"/>
                <w:vertAlign w:val="superscript"/>
                <w:lang w:val="kk"/>
              </w:rPr>
              <w:t>c</w:t>
            </w:r>
          </w:p>
          <w:p w14:paraId="2CA5CA81" w14:textId="77777777" w:rsidR="00E453E7" w:rsidRPr="00996810" w:rsidRDefault="002541C1" w:rsidP="00E453E7">
            <w:pPr>
              <w:spacing w:after="0" w:line="240" w:lineRule="auto"/>
              <w:jc w:val="both"/>
              <w:rPr>
                <w:rFonts w:ascii="Times New Roman" w:hAnsi="Times New Roman"/>
                <w:bCs/>
                <w:sz w:val="24"/>
                <w:szCs w:val="24"/>
              </w:rPr>
            </w:pPr>
            <w:r w:rsidRPr="00996810">
              <w:rPr>
                <w:rFonts w:ascii="Times New Roman" w:hAnsi="Times New Roman"/>
                <w:bCs/>
                <w:i/>
                <w:iCs/>
                <w:sz w:val="24"/>
                <w:szCs w:val="24"/>
                <w:lang w:val="kk"/>
              </w:rPr>
              <w:t>Жиі:</w:t>
            </w:r>
            <w:r w:rsidRPr="00996810">
              <w:rPr>
                <w:rFonts w:ascii="Times New Roman" w:hAnsi="Times New Roman"/>
                <w:bCs/>
                <w:sz w:val="24"/>
                <w:szCs w:val="24"/>
                <w:lang w:val="kk"/>
              </w:rPr>
              <w:t xml:space="preserve"> Тромбоцитопения</w:t>
            </w:r>
          </w:p>
        </w:tc>
        <w:tc>
          <w:tcPr>
            <w:tcW w:w="1312" w:type="dxa"/>
          </w:tcPr>
          <w:p w14:paraId="6F56927F" w14:textId="77777777" w:rsidR="00E453E7" w:rsidRPr="00996810" w:rsidRDefault="002541C1" w:rsidP="00C201B3">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Жиі емес:</w:t>
            </w:r>
          </w:p>
          <w:p w14:paraId="673F17F5" w14:textId="77777777" w:rsidR="00E453E7"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Тромбоцитопения</w:t>
            </w:r>
          </w:p>
        </w:tc>
        <w:tc>
          <w:tcPr>
            <w:tcW w:w="1312" w:type="dxa"/>
          </w:tcPr>
          <w:p w14:paraId="7A86FBB9"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Өте жиі:</w:t>
            </w:r>
          </w:p>
          <w:p w14:paraId="2773F3BA" w14:textId="77777777" w:rsidR="00E453E7" w:rsidRPr="00996810" w:rsidRDefault="002541C1" w:rsidP="00E453E7">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Тромбоцитоз</w:t>
            </w:r>
            <w:r w:rsidRPr="00996810">
              <w:rPr>
                <w:rFonts w:ascii="Times New Roman" w:hAnsi="Times New Roman"/>
                <w:bCs/>
                <w:sz w:val="24"/>
                <w:szCs w:val="24"/>
                <w:vertAlign w:val="superscript"/>
                <w:lang w:val="kk"/>
              </w:rPr>
              <w:t>c</w:t>
            </w:r>
          </w:p>
          <w:p w14:paraId="2659E271"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Жиі:</w:t>
            </w:r>
          </w:p>
          <w:p w14:paraId="6150C18C" w14:textId="77777777" w:rsidR="00E453E7" w:rsidRPr="00996810" w:rsidRDefault="002541C1" w:rsidP="00E453E7">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Тромбоцитопения</w:t>
            </w:r>
          </w:p>
        </w:tc>
        <w:tc>
          <w:tcPr>
            <w:tcW w:w="1312" w:type="dxa"/>
          </w:tcPr>
          <w:p w14:paraId="721DF00C"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Белгісіз:</w:t>
            </w:r>
          </w:p>
          <w:p w14:paraId="018EF48C" w14:textId="77777777" w:rsidR="00E453E7" w:rsidRPr="00996810" w:rsidRDefault="002541C1" w:rsidP="00E453E7">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Тромбоцитопения</w:t>
            </w:r>
          </w:p>
        </w:tc>
        <w:tc>
          <w:tcPr>
            <w:tcW w:w="1312" w:type="dxa"/>
          </w:tcPr>
          <w:p w14:paraId="64485FD2"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Белгісіз:</w:t>
            </w:r>
          </w:p>
          <w:p w14:paraId="4790E7A3" w14:textId="77777777" w:rsidR="00E453E7" w:rsidRPr="00996810" w:rsidRDefault="002541C1" w:rsidP="00E453E7">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Тромбоцитопения</w:t>
            </w:r>
          </w:p>
        </w:tc>
        <w:tc>
          <w:tcPr>
            <w:tcW w:w="1575" w:type="dxa"/>
          </w:tcPr>
          <w:p w14:paraId="1D13302F"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Жиі:</w:t>
            </w:r>
          </w:p>
          <w:p w14:paraId="042C37FF" w14:textId="77777777" w:rsidR="00E453E7" w:rsidRPr="00996810" w:rsidRDefault="002541C1" w:rsidP="00E453E7">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Тромбоцитоз</w:t>
            </w:r>
            <w:r w:rsidRPr="00996810">
              <w:rPr>
                <w:rFonts w:ascii="Times New Roman" w:hAnsi="Times New Roman"/>
                <w:bCs/>
                <w:sz w:val="24"/>
                <w:szCs w:val="24"/>
                <w:vertAlign w:val="superscript"/>
                <w:lang w:val="kk"/>
              </w:rPr>
              <w:t>c</w:t>
            </w:r>
          </w:p>
          <w:p w14:paraId="2F6CD89A" w14:textId="77777777" w:rsidR="00E453E7"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Тромбоцитопения</w:t>
            </w:r>
          </w:p>
          <w:p w14:paraId="7DBE50CD" w14:textId="77777777" w:rsidR="00E453E7"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i/>
                <w:iCs/>
                <w:sz w:val="24"/>
                <w:szCs w:val="24"/>
                <w:lang w:val="kk"/>
              </w:rPr>
              <w:t>Өте сирек:</w:t>
            </w:r>
            <w:r w:rsidRPr="00996810">
              <w:rPr>
                <w:rFonts w:ascii="Times New Roman" w:hAnsi="Times New Roman"/>
                <w:bCs/>
                <w:sz w:val="24"/>
                <w:szCs w:val="24"/>
                <w:lang w:val="kk"/>
              </w:rPr>
              <w:t xml:space="preserve"> Иммуноаллергиялық тромбоцитопения</w:t>
            </w:r>
          </w:p>
        </w:tc>
      </w:tr>
    </w:tbl>
    <w:p w14:paraId="626B0B74" w14:textId="77777777" w:rsidR="00E453E7" w:rsidRPr="00996810" w:rsidRDefault="002541C1" w:rsidP="00C201B3">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vertAlign w:val="superscript"/>
          <w:lang w:val="kk"/>
        </w:rPr>
        <w:t>c</w:t>
      </w:r>
      <w:r w:rsidRPr="00996810">
        <w:rPr>
          <w:rFonts w:ascii="Times New Roman" w:eastAsia="Calibri" w:hAnsi="Times New Roman" w:cs="Times New Roman"/>
          <w:bCs/>
          <w:sz w:val="24"/>
          <w:szCs w:val="24"/>
          <w:lang w:val="kk"/>
        </w:rPr>
        <w:t>: Тромбоциттер жоғары &gt;400 Г/л</w:t>
      </w:r>
    </w:p>
    <w:p w14:paraId="3FA3477E" w14:textId="77777777" w:rsidR="00F10F8C" w:rsidRPr="00996810" w:rsidRDefault="002541C1" w:rsidP="00C201B3">
      <w:pPr>
        <w:spacing w:after="0" w:line="240" w:lineRule="auto"/>
        <w:jc w:val="both"/>
        <w:rPr>
          <w:rFonts w:ascii="Times New Roman" w:eastAsia="Calibri" w:hAnsi="Times New Roman" w:cs="Times New Roman"/>
          <w:bCs/>
          <w:i/>
          <w:iCs/>
          <w:sz w:val="24"/>
          <w:szCs w:val="24"/>
        </w:rPr>
      </w:pPr>
      <w:r w:rsidRPr="00996810">
        <w:rPr>
          <w:rFonts w:ascii="Times New Roman" w:eastAsia="Calibri" w:hAnsi="Times New Roman" w:cs="Times New Roman"/>
          <w:bCs/>
          <w:i/>
          <w:iCs/>
          <w:sz w:val="24"/>
          <w:szCs w:val="24"/>
          <w:lang w:val="kk"/>
        </w:rPr>
        <w:t>Балалар</w:t>
      </w:r>
    </w:p>
    <w:p w14:paraId="75FA8B41" w14:textId="77777777" w:rsidR="00F10F8C" w:rsidRPr="00996810" w:rsidRDefault="002541C1" w:rsidP="00C201B3">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lang w:val="kk"/>
        </w:rPr>
        <w:t xml:space="preserve">Балаларда натрий эноксапаринінің қауіпсіздігі мен тиімділігі анықталмаған (4.2-бөлімді қараңыз). </w:t>
      </w:r>
    </w:p>
    <w:p w14:paraId="27BD3EB1" w14:textId="77777777" w:rsidR="008A073E" w:rsidRPr="00996810" w:rsidRDefault="008A073E" w:rsidP="00D91FB4">
      <w:pPr>
        <w:shd w:val="clear" w:color="auto" w:fill="FFFFFF"/>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ru-RU"/>
        </w:rPr>
      </w:pPr>
    </w:p>
    <w:p w14:paraId="221ACC5E" w14:textId="77777777" w:rsidR="00D76AB5" w:rsidRPr="00996810" w:rsidRDefault="002541C1" w:rsidP="00D76AB5">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Күмәнді жағымсыз реакциялар туралы хабарлау</w:t>
      </w:r>
    </w:p>
    <w:p w14:paraId="791EF13C" w14:textId="77777777" w:rsidR="00D76AB5" w:rsidRPr="00996810" w:rsidRDefault="002541C1" w:rsidP="00D76AB5">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w:t>
      </w:r>
      <w:r w:rsidRPr="00996810">
        <w:rPr>
          <w:rFonts w:ascii="Times New Roman" w:hAnsi="Times New Roman" w:cs="Times New Roman"/>
          <w:sz w:val="24"/>
          <w:szCs w:val="24"/>
          <w:lang w:val="kk"/>
        </w:rPr>
        <w:lastRenderedPageBreak/>
        <w:t xml:space="preserve">жүйесі арқылы ДП кез келген күмәнді жағымсыз реакциялары туралы мәлімдеуге кеңес беріледі. </w:t>
      </w:r>
    </w:p>
    <w:p w14:paraId="331988C1" w14:textId="77777777" w:rsidR="00D76AB5" w:rsidRPr="00996810" w:rsidRDefault="002541C1" w:rsidP="00D76AB5">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«Дәрілік заттар мен медициналық бұйымдарды сараптау ұлттық      орталығы»  ШЖҚ РМК </w:t>
      </w:r>
    </w:p>
    <w:p w14:paraId="75A014A0" w14:textId="77777777" w:rsidR="00D76AB5" w:rsidRPr="00996810" w:rsidRDefault="004156F7" w:rsidP="00D76AB5">
      <w:pPr>
        <w:spacing w:after="0" w:line="240" w:lineRule="auto"/>
        <w:jc w:val="both"/>
        <w:rPr>
          <w:rFonts w:ascii="Times New Roman" w:hAnsi="Times New Roman" w:cs="Times New Roman"/>
          <w:sz w:val="24"/>
          <w:szCs w:val="24"/>
        </w:rPr>
      </w:pPr>
      <w:hyperlink r:id="rId5" w:history="1">
        <w:r w:rsidR="002541C1" w:rsidRPr="00996810">
          <w:rPr>
            <w:rStyle w:val="a3"/>
            <w:rFonts w:ascii="Times New Roman" w:hAnsi="Times New Roman" w:cs="Times New Roman"/>
            <w:sz w:val="24"/>
            <w:szCs w:val="24"/>
            <w:u w:val="none"/>
            <w:lang w:val="kk"/>
          </w:rPr>
          <w:t>http://www.ndda.kz</w:t>
        </w:r>
      </w:hyperlink>
      <w:r w:rsidR="002541C1" w:rsidRPr="00996810">
        <w:rPr>
          <w:rFonts w:ascii="Times New Roman" w:hAnsi="Times New Roman" w:cs="Times New Roman"/>
          <w:sz w:val="24"/>
          <w:szCs w:val="24"/>
          <w:lang w:val="kk"/>
        </w:rPr>
        <w:t xml:space="preserve"> </w:t>
      </w:r>
    </w:p>
    <w:p w14:paraId="19442707" w14:textId="77777777" w:rsidR="00D76AB5" w:rsidRPr="00996810" w:rsidRDefault="00D76AB5" w:rsidP="00A75F5E">
      <w:pPr>
        <w:spacing w:after="0" w:line="240" w:lineRule="auto"/>
        <w:jc w:val="both"/>
        <w:rPr>
          <w:rFonts w:ascii="Times New Roman" w:hAnsi="Times New Roman" w:cs="Times New Roman"/>
          <w:b/>
          <w:sz w:val="24"/>
          <w:szCs w:val="24"/>
        </w:rPr>
      </w:pPr>
    </w:p>
    <w:p w14:paraId="6699F668" w14:textId="77777777" w:rsidR="00055682"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4.9. Артық дозалану</w:t>
      </w:r>
    </w:p>
    <w:p w14:paraId="3B8EDCD5"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b/>
          <w:i/>
          <w:sz w:val="24"/>
          <w:szCs w:val="24"/>
          <w:lang w:val="kk" w:eastAsia="hu-HU"/>
        </w:rPr>
      </w:pPr>
      <w:r w:rsidRPr="00996810">
        <w:rPr>
          <w:rFonts w:ascii="Times New Roman" w:eastAsia="Times New Roman" w:hAnsi="Times New Roman" w:cs="Times New Roman"/>
          <w:i/>
          <w:sz w:val="24"/>
          <w:szCs w:val="24"/>
          <w:lang w:val="kk" w:eastAsia="hu-HU"/>
        </w:rPr>
        <w:t>Симптомдары:</w:t>
      </w:r>
      <w:r w:rsidRPr="00996810">
        <w:rPr>
          <w:rFonts w:ascii="Times New Roman" w:eastAsia="Times New Roman" w:hAnsi="Times New Roman" w:cs="Times New Roman"/>
          <w:sz w:val="24"/>
          <w:szCs w:val="24"/>
          <w:lang w:val="kk" w:eastAsia="hu-HU"/>
        </w:rPr>
        <w:t xml:space="preserve"> венаішілік, экстракорпоральді немесе теріастылық енгізуден кейін натрий эноксапаринімен кездейсоқ артық дозалану қан кетулерге әкелуі мүмкін. Тіпті үлкен дозаларын ішке қабылдағанда да натрий эноксапаринінің сіңірілу ықтималдығы аз.</w:t>
      </w:r>
    </w:p>
    <w:p w14:paraId="72BAA42D"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i/>
          <w:sz w:val="24"/>
          <w:szCs w:val="24"/>
          <w:lang w:val="kk" w:eastAsia="hu-HU"/>
        </w:rPr>
        <w:t>Емі:</w:t>
      </w:r>
      <w:r w:rsidRPr="00996810">
        <w:rPr>
          <w:rFonts w:ascii="Times New Roman" w:eastAsia="Times New Roman" w:hAnsi="Times New Roman" w:cs="Times New Roman"/>
          <w:sz w:val="24"/>
          <w:szCs w:val="24"/>
          <w:lang w:val="kk" w:eastAsia="hu-HU"/>
        </w:rPr>
        <w:t xml:space="preserve"> протамин сульфатын вена ішіне баяу енгізу арқылы антикоагулянттық әсерін едәуір бейтараптандыруға болады. </w:t>
      </w:r>
    </w:p>
    <w:p w14:paraId="7D395984"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Протамин сульфатының қажетті дозасы натрий эноксапаринінің енгізілген дозасына байланысты:</w:t>
      </w:r>
    </w:p>
    <w:p w14:paraId="1C2C10DF"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 натрий эноксапарині мұның алдындағы 8 сағаттың ішінде енгізілген жағдайда,  1 мг протамин сульфаты 100 ХБ (1 мг) натрий эноксапаринінің антикоагулянттық әсерін бейтараптандырады </w:t>
      </w:r>
    </w:p>
    <w:p w14:paraId="618FEE7C"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- 0.5 мг протамин инфузиясын 100 ХБ (1 мг) натрий эноксапариніне енгізуге болады, егер натрий эноксапарині протаминді енгізуден 8 сағаттан астам уақыт бұрын енгізілсе немесе протаминнің екінші дозасы қажет екені анықталса </w:t>
      </w:r>
    </w:p>
    <w:p w14:paraId="69BD0314"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натрий эноксапарині инъекциясынан кейін 12 сағат өткен соң протаминді енгізу қажет болмауы мүмкін.</w:t>
      </w:r>
    </w:p>
    <w:p w14:paraId="132C1605" w14:textId="77777777" w:rsidR="00051BAC" w:rsidRPr="00996810" w:rsidRDefault="002541C1" w:rsidP="00051BAC">
      <w:pPr>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Алайда, протаминнің жоғары дозаларының өзінде, натрий эноксапаринінің анти-Xa белсенділігі ешқашанда толық бейтараптанбайды (ең көбі 60%-ға жуық).</w:t>
      </w:r>
    </w:p>
    <w:p w14:paraId="1D558C0B" w14:textId="77777777" w:rsidR="00B56A91" w:rsidRPr="00996810" w:rsidRDefault="00B56A91" w:rsidP="00A75F5E">
      <w:pPr>
        <w:spacing w:after="0" w:line="240" w:lineRule="auto"/>
        <w:jc w:val="both"/>
        <w:rPr>
          <w:rFonts w:ascii="Times New Roman" w:hAnsi="Times New Roman" w:cs="Times New Roman"/>
          <w:sz w:val="24"/>
          <w:szCs w:val="24"/>
          <w:lang w:val="kk"/>
        </w:rPr>
      </w:pPr>
    </w:p>
    <w:p w14:paraId="75EA4DBF"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5. ФАРМАКОЛОГИЯЛЫҚ ҚАСИЕТТЕРІ</w:t>
      </w:r>
    </w:p>
    <w:p w14:paraId="38B58ABA"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5.1. Фармакодинамикалық қасиеттері</w:t>
      </w:r>
    </w:p>
    <w:p w14:paraId="2797E29B" w14:textId="77777777" w:rsidR="005D7901" w:rsidRPr="00996810" w:rsidRDefault="002541C1" w:rsidP="005D790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Фармакотерапиялық тобы: Қан және қан түзетін ағзалар. Тромбозға қарсы препараттар. Гепарин тобы. Эноксапарин. </w:t>
      </w:r>
    </w:p>
    <w:p w14:paraId="08DD1068" w14:textId="77777777" w:rsidR="005D7901" w:rsidRPr="00996810" w:rsidRDefault="002541C1" w:rsidP="005D790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АТХ коды B01AB05</w:t>
      </w:r>
    </w:p>
    <w:p w14:paraId="23CB0CD2" w14:textId="77777777" w:rsidR="005D15DC" w:rsidRPr="00996810" w:rsidRDefault="002541C1" w:rsidP="005D7901">
      <w:pPr>
        <w:spacing w:after="0" w:line="240" w:lineRule="auto"/>
        <w:jc w:val="both"/>
        <w:rPr>
          <w:rFonts w:ascii="Times New Roman" w:eastAsia="Calibri" w:hAnsi="Times New Roman" w:cs="Times New Roman"/>
          <w:i/>
          <w:sz w:val="24"/>
          <w:szCs w:val="24"/>
          <w:lang w:val="kk" w:bidi="ar-IQ"/>
        </w:rPr>
      </w:pPr>
      <w:r w:rsidRPr="00996810">
        <w:rPr>
          <w:rFonts w:ascii="Times New Roman" w:eastAsia="Calibri" w:hAnsi="Times New Roman" w:cs="Times New Roman"/>
          <w:i/>
          <w:iCs/>
          <w:sz w:val="24"/>
          <w:szCs w:val="24"/>
          <w:lang w:val="kk" w:bidi="ar-IQ"/>
        </w:rPr>
        <w:t xml:space="preserve">Әсер ету механизмі   </w:t>
      </w:r>
    </w:p>
    <w:p w14:paraId="3FB7A01E" w14:textId="77777777" w:rsidR="006370A4" w:rsidRPr="00996810" w:rsidRDefault="002541C1" w:rsidP="005D7901">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 xml:space="preserve">Катенокс биосимиляр болып табылады.  </w:t>
      </w:r>
      <w:r w:rsidRPr="00996810">
        <w:rPr>
          <w:rFonts w:ascii="Times New Roman" w:eastAsia="Times New Roman" w:hAnsi="Times New Roman" w:cs="Times New Roman"/>
          <w:color w:val="000000"/>
          <w:sz w:val="24"/>
          <w:szCs w:val="24"/>
          <w:lang w:val="kk" w:eastAsia="ru-RU"/>
        </w:rPr>
        <w:t>Эноксапарин – бұл стандартты гепариннің тромбозға қарсы</w:t>
      </w:r>
      <w:r w:rsidRPr="00996810">
        <w:rPr>
          <w:rFonts w:ascii="Times New Roman" w:eastAsia="Times New Roman" w:hAnsi="Times New Roman" w:cs="Times New Roman"/>
          <w:sz w:val="24"/>
          <w:szCs w:val="24"/>
          <w:lang w:val="kk" w:eastAsia="hu-HU"/>
        </w:rPr>
        <w:t xml:space="preserve"> және антикоагулянттық әсерлері өзара байланыспаған, </w:t>
      </w:r>
      <w:r w:rsidRPr="00996810">
        <w:rPr>
          <w:rFonts w:ascii="Times New Roman" w:eastAsia="Times New Roman" w:hAnsi="Times New Roman" w:cs="Times New Roman"/>
          <w:color w:val="000000"/>
          <w:sz w:val="24"/>
          <w:szCs w:val="24"/>
          <w:lang w:val="kk" w:eastAsia="ru-RU"/>
        </w:rPr>
        <w:t xml:space="preserve">орташа молекулалық салмағы 4500 дальтон болатын төмен молекулалы гепарин. </w:t>
      </w:r>
      <w:r w:rsidRPr="00996810">
        <w:rPr>
          <w:rFonts w:ascii="Times New Roman" w:eastAsia="Times New Roman" w:hAnsi="Times New Roman" w:cs="Times New Roman"/>
          <w:sz w:val="24"/>
          <w:szCs w:val="24"/>
          <w:lang w:val="kk" w:eastAsia="hu-HU"/>
        </w:rPr>
        <w:t xml:space="preserve">Дәрілік субстанция – натрий тұзы. Тазартылған </w:t>
      </w:r>
      <w:r w:rsidR="008A073E" w:rsidRPr="00996810">
        <w:rPr>
          <w:rFonts w:ascii="Times New Roman" w:eastAsia="Times New Roman" w:hAnsi="Times New Roman" w:cs="Times New Roman"/>
          <w:i/>
          <w:iCs/>
          <w:sz w:val="24"/>
          <w:szCs w:val="24"/>
          <w:lang w:val="kk" w:eastAsia="hu-HU"/>
        </w:rPr>
        <w:t>in vitro</w:t>
      </w:r>
      <w:r w:rsidRPr="00996810">
        <w:rPr>
          <w:rFonts w:ascii="Times New Roman" w:eastAsia="Times New Roman" w:hAnsi="Times New Roman" w:cs="Times New Roman"/>
          <w:sz w:val="24"/>
          <w:szCs w:val="24"/>
          <w:lang w:val="kk" w:eastAsia="hu-HU"/>
        </w:rPr>
        <w:t xml:space="preserve"> жүйесінде натрий эноксапарині жоғары анти-Xa белсенділікке (шамамен 100 ХБ/мл) және төмен анти-IIa немесе тромбозға қарсы (шамамен 28 ХБ/мл) белсенділікке 3,6 арақатынасында ие. Бұл антикоагулянттық белсенділіктер антитромбин III (АТ-III) байланысты, бұл адамдарда тромбозға қарсы белсенділікке әкеледі. </w:t>
      </w:r>
    </w:p>
    <w:p w14:paraId="028671D9" w14:textId="77777777" w:rsidR="006370A4" w:rsidRPr="00996810" w:rsidRDefault="002541C1" w:rsidP="005D7901">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Анти-Ха/IIа белсенділіктен басқа, дені сау адамдар мен пациенттерде, сондай-ақ клиникалық емес модельдерде эноксапариннің тромбозға қарсы және қабынуға қарсы қосымша қасиеттері де анықталды.</w:t>
      </w:r>
    </w:p>
    <w:p w14:paraId="7ACA483A" w14:textId="77777777" w:rsidR="006370A4" w:rsidRPr="00996810" w:rsidRDefault="006370A4" w:rsidP="005D7901">
      <w:pPr>
        <w:tabs>
          <w:tab w:val="left" w:pos="567"/>
        </w:tabs>
        <w:spacing w:after="0" w:line="240" w:lineRule="auto"/>
        <w:jc w:val="both"/>
        <w:rPr>
          <w:rFonts w:ascii="Times New Roman" w:eastAsia="Times New Roman" w:hAnsi="Times New Roman" w:cs="Times New Roman"/>
          <w:sz w:val="24"/>
          <w:szCs w:val="24"/>
          <w:lang w:val="kk" w:eastAsia="hu-HU"/>
        </w:rPr>
      </w:pPr>
    </w:p>
    <w:p w14:paraId="3D41D455" w14:textId="77777777" w:rsidR="006370A4" w:rsidRPr="00996810" w:rsidRDefault="006370A4" w:rsidP="005D7901">
      <w:pPr>
        <w:tabs>
          <w:tab w:val="left" w:pos="567"/>
        </w:tabs>
        <w:spacing w:after="0" w:line="240" w:lineRule="auto"/>
        <w:jc w:val="both"/>
        <w:rPr>
          <w:rFonts w:ascii="Times New Roman" w:eastAsia="Times New Roman" w:hAnsi="Times New Roman" w:cs="Times New Roman"/>
          <w:sz w:val="24"/>
          <w:szCs w:val="24"/>
          <w:lang w:val="kk" w:eastAsia="hu-HU"/>
        </w:rPr>
      </w:pPr>
    </w:p>
    <w:p w14:paraId="217B83A4" w14:textId="77777777" w:rsidR="006370A4" w:rsidRPr="00996810" w:rsidRDefault="006370A4" w:rsidP="005D7901">
      <w:pPr>
        <w:tabs>
          <w:tab w:val="left" w:pos="567"/>
        </w:tabs>
        <w:spacing w:after="0" w:line="240" w:lineRule="auto"/>
        <w:jc w:val="both"/>
        <w:rPr>
          <w:rFonts w:ascii="Times New Roman" w:eastAsia="Times New Roman" w:hAnsi="Times New Roman" w:cs="Times New Roman"/>
          <w:sz w:val="24"/>
          <w:szCs w:val="24"/>
          <w:lang w:val="kk" w:eastAsia="hu-HU"/>
        </w:rPr>
      </w:pPr>
    </w:p>
    <w:p w14:paraId="1A75FE5A" w14:textId="77777777" w:rsidR="005D7901" w:rsidRPr="00996810" w:rsidRDefault="002541C1" w:rsidP="005D7901">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Бұл  VIIа  факторы сияқты басқа ұю факторларының АТ-III-әуелді тежелуін, эндогендік тіндік фактор жолының тежегішінің (ТФЖТ) босап шығуының белсенділенуін, сондай-ақ Виллебранд факторының тамырлар эндотелийінен қанағымына босап шығуының төмендеуін қамтиды.  Бұл факторлар жалпы алғанда  натрий эноксапаринінің антикоагулянттық әсерін қамтамасыз етеді.</w:t>
      </w:r>
    </w:p>
    <w:p w14:paraId="3BAB7905" w14:textId="77777777" w:rsidR="005D7901" w:rsidRPr="00996810" w:rsidRDefault="002541C1"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lastRenderedPageBreak/>
        <w:t xml:space="preserve">Профилактикалық дозаларда натрий  эноксапарині ішінара белсенділенген тромбопластин уақытына (ІБТУ) айтарлықтай ықпалын тигізбейді. Емдік дозаларында ІБТУ белсенділігінің жоғарғы шегінде бақылану уақытынан 1,5-2,2 есе ұзаруы мүмкін. </w:t>
      </w:r>
    </w:p>
    <w:p w14:paraId="3C4E82BE"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val="kk" w:eastAsia="ru-RU"/>
        </w:rPr>
      </w:pPr>
      <w:r w:rsidRPr="00996810">
        <w:rPr>
          <w:rFonts w:ascii="Times New Roman" w:eastAsia="Times New Roman" w:hAnsi="Times New Roman" w:cs="Times New Roman"/>
          <w:i/>
          <w:iCs/>
          <w:color w:val="000000"/>
          <w:sz w:val="24"/>
          <w:szCs w:val="24"/>
          <w:u w:val="single"/>
          <w:lang w:val="kk" w:eastAsia="ru-RU"/>
        </w:rPr>
        <w:t>Клиникалық тиімділігі және қауіпсіздігі</w:t>
      </w:r>
    </w:p>
    <w:p w14:paraId="2AFA8944"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val="kk" w:eastAsia="ru-RU"/>
        </w:rPr>
      </w:pPr>
      <w:r w:rsidRPr="00996810">
        <w:rPr>
          <w:rFonts w:ascii="Times New Roman" w:eastAsia="Times New Roman" w:hAnsi="Times New Roman" w:cs="Times New Roman"/>
          <w:i/>
          <w:iCs/>
          <w:color w:val="000000"/>
          <w:sz w:val="24"/>
          <w:szCs w:val="24"/>
          <w:u w:val="single"/>
          <w:lang w:val="kk" w:eastAsia="ru-RU"/>
        </w:rPr>
        <w:t>Хирургиялық араласыммен байланысты вена тромбоэмболиясының профилактикасы</w:t>
      </w:r>
    </w:p>
    <w:p w14:paraId="6870D22A"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996810">
        <w:rPr>
          <w:rFonts w:ascii="Times New Roman" w:eastAsia="Times New Roman" w:hAnsi="Times New Roman" w:cs="Times New Roman"/>
          <w:i/>
          <w:iCs/>
          <w:color w:val="000000"/>
          <w:sz w:val="24"/>
          <w:szCs w:val="24"/>
          <w:lang w:val="kk" w:eastAsia="ru-RU"/>
        </w:rPr>
        <w:t>Ортопедиялық операциядан кейін ВТЭ кеңейтілген профилактикасы</w:t>
      </w:r>
    </w:p>
    <w:p w14:paraId="4B3B74A4"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Ұршықбуынын алмастыру операциясы жасалған пациенттерге арналған кеңейтілген профилактиканы салыстырмалы жасырын зерттеуде бастапқыда ауруханаға жатқызылған кезде тері астына натрий эноксапаринін 4000 ХБ (40 мг) қабылдаған вена тромбоэмболиясы жоқ 179 пациент шығарылғаннан кейін натрий эноксапаринін 4000 ХБ (40 мг) (n=90) теріастына күніне бір рет режимі тобына немесе 3 апта бойы плацебоға (n=89) рандомизацияланды. Кеңейтілген профилактика кезінде тереңдегі вена тромбозының жиілігі плацебомен салыстырғанда натрий эноксапарині үшін айтарлықтай төмен болды, бір де бір ӨАТЭ тіркелмеді. Ешқандай ауыр қан кету байқалмады.</w:t>
      </w:r>
    </w:p>
    <w:p w14:paraId="42F69A2F"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Тиімділік бойынша деректер төмендегі кестеде берілген. </w:t>
      </w:r>
    </w:p>
    <w:tbl>
      <w:tblPr>
        <w:tblStyle w:val="aa"/>
        <w:tblW w:w="0" w:type="auto"/>
        <w:tblLook w:val="04A0" w:firstRow="1" w:lastRow="0" w:firstColumn="1" w:lastColumn="0" w:noHBand="0" w:noVBand="1"/>
      </w:tblPr>
      <w:tblGrid>
        <w:gridCol w:w="3095"/>
        <w:gridCol w:w="3096"/>
        <w:gridCol w:w="3096"/>
      </w:tblGrid>
      <w:tr w:rsidR="00F05490" w:rsidRPr="00996810" w14:paraId="158E9474" w14:textId="77777777" w:rsidTr="00361B07">
        <w:tc>
          <w:tcPr>
            <w:tcW w:w="3095" w:type="dxa"/>
          </w:tcPr>
          <w:p w14:paraId="0985D86A" w14:textId="77777777" w:rsidR="00361B07" w:rsidRPr="00996810"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lang w:val="kk"/>
              </w:rPr>
            </w:pPr>
          </w:p>
        </w:tc>
        <w:tc>
          <w:tcPr>
            <w:tcW w:w="3096" w:type="dxa"/>
          </w:tcPr>
          <w:p w14:paraId="6ECC1E17"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lang w:val="kk"/>
              </w:rPr>
            </w:pPr>
            <w:r w:rsidRPr="00996810">
              <w:rPr>
                <w:rFonts w:ascii="Times New Roman" w:eastAsia="Times New Roman" w:hAnsi="Times New Roman"/>
                <w:b/>
                <w:bCs/>
                <w:color w:val="000000"/>
                <w:sz w:val="24"/>
                <w:szCs w:val="24"/>
                <w:lang w:val="kk"/>
              </w:rPr>
              <w:t>Натрий эноксапарині</w:t>
            </w:r>
          </w:p>
          <w:p w14:paraId="27AB526A"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lang w:val="kk"/>
              </w:rPr>
            </w:pPr>
            <w:r w:rsidRPr="00996810">
              <w:rPr>
                <w:rFonts w:ascii="Times New Roman" w:eastAsia="Times New Roman" w:hAnsi="Times New Roman"/>
                <w:b/>
                <w:bCs/>
                <w:color w:val="000000"/>
                <w:sz w:val="24"/>
                <w:szCs w:val="24"/>
                <w:lang w:val="kk"/>
              </w:rPr>
              <w:t>4000 ХБ (40 мг)</w:t>
            </w:r>
          </w:p>
          <w:p w14:paraId="7285824C"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lang w:val="kk"/>
              </w:rPr>
            </w:pPr>
            <w:r w:rsidRPr="00996810">
              <w:rPr>
                <w:rFonts w:ascii="Times New Roman" w:eastAsia="Times New Roman" w:hAnsi="Times New Roman"/>
                <w:b/>
                <w:bCs/>
                <w:color w:val="000000"/>
                <w:sz w:val="24"/>
                <w:szCs w:val="24"/>
                <w:lang w:val="kk"/>
              </w:rPr>
              <w:t>күніне бір рет тері астына</w:t>
            </w:r>
          </w:p>
          <w:p w14:paraId="06E49CFE"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n (%)</w:t>
            </w:r>
          </w:p>
        </w:tc>
        <w:tc>
          <w:tcPr>
            <w:tcW w:w="3096" w:type="dxa"/>
          </w:tcPr>
          <w:p w14:paraId="0B6767A9"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Плацебо</w:t>
            </w:r>
          </w:p>
          <w:p w14:paraId="19007864"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күніне бір рет тері астына</w:t>
            </w:r>
          </w:p>
          <w:p w14:paraId="42175E6F"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n (%)</w:t>
            </w:r>
          </w:p>
        </w:tc>
      </w:tr>
      <w:tr w:rsidR="00F05490" w:rsidRPr="00996810" w14:paraId="2A4BA476" w14:textId="77777777" w:rsidTr="00361B07">
        <w:tc>
          <w:tcPr>
            <w:tcW w:w="3095" w:type="dxa"/>
          </w:tcPr>
          <w:p w14:paraId="19E1EE99"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 xml:space="preserve">Кеңейтілген профилактика курсынан өткен барлық пациенттер </w:t>
            </w:r>
          </w:p>
        </w:tc>
        <w:tc>
          <w:tcPr>
            <w:tcW w:w="3096" w:type="dxa"/>
          </w:tcPr>
          <w:p w14:paraId="0B8B2FDD"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90 (100)</w:t>
            </w:r>
          </w:p>
        </w:tc>
        <w:tc>
          <w:tcPr>
            <w:tcW w:w="3096" w:type="dxa"/>
          </w:tcPr>
          <w:p w14:paraId="75B7E150"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89 (100)</w:t>
            </w:r>
          </w:p>
        </w:tc>
      </w:tr>
      <w:tr w:rsidR="00F05490" w:rsidRPr="00996810" w14:paraId="61C3EBD5" w14:textId="77777777" w:rsidTr="00361B07">
        <w:tc>
          <w:tcPr>
            <w:tcW w:w="3095" w:type="dxa"/>
          </w:tcPr>
          <w:p w14:paraId="32F11A03"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Барлық ВТЭ</w:t>
            </w:r>
          </w:p>
        </w:tc>
        <w:tc>
          <w:tcPr>
            <w:tcW w:w="3096" w:type="dxa"/>
          </w:tcPr>
          <w:p w14:paraId="667FA214"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6 (6.6)</w:t>
            </w:r>
          </w:p>
        </w:tc>
        <w:tc>
          <w:tcPr>
            <w:tcW w:w="3096" w:type="dxa"/>
          </w:tcPr>
          <w:p w14:paraId="4979D3EC"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18 (20.2)</w:t>
            </w:r>
          </w:p>
        </w:tc>
      </w:tr>
      <w:tr w:rsidR="00F05490" w:rsidRPr="00996810" w14:paraId="38DF1206" w14:textId="77777777" w:rsidTr="00361B07">
        <w:tc>
          <w:tcPr>
            <w:tcW w:w="3095" w:type="dxa"/>
          </w:tcPr>
          <w:p w14:paraId="343B482F"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Тереңдегі веналардың жалпы тромбозы (%)</w:t>
            </w:r>
          </w:p>
        </w:tc>
        <w:tc>
          <w:tcPr>
            <w:tcW w:w="3096" w:type="dxa"/>
          </w:tcPr>
          <w:p w14:paraId="614D0BF0"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6 (6.6)*</w:t>
            </w:r>
          </w:p>
        </w:tc>
        <w:tc>
          <w:tcPr>
            <w:tcW w:w="3096" w:type="dxa"/>
          </w:tcPr>
          <w:p w14:paraId="63CFE05C"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18 (20.2)</w:t>
            </w:r>
          </w:p>
        </w:tc>
      </w:tr>
      <w:tr w:rsidR="00F05490" w:rsidRPr="00996810" w14:paraId="345BA917" w14:textId="77777777" w:rsidTr="00361B07">
        <w:tc>
          <w:tcPr>
            <w:tcW w:w="3095" w:type="dxa"/>
          </w:tcPr>
          <w:p w14:paraId="60C33988"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Терең веналардың проксимальді тромбозы (%)</w:t>
            </w:r>
          </w:p>
        </w:tc>
        <w:tc>
          <w:tcPr>
            <w:tcW w:w="3096" w:type="dxa"/>
          </w:tcPr>
          <w:p w14:paraId="3C830FF1"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5 (5.6)#</w:t>
            </w:r>
          </w:p>
        </w:tc>
        <w:tc>
          <w:tcPr>
            <w:tcW w:w="3096" w:type="dxa"/>
          </w:tcPr>
          <w:p w14:paraId="0B075BDB"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7 (8.8)</w:t>
            </w:r>
          </w:p>
        </w:tc>
      </w:tr>
      <w:tr w:rsidR="00F05490" w:rsidRPr="00996810" w14:paraId="75CD30C0" w14:textId="77777777" w:rsidTr="00177591">
        <w:tc>
          <w:tcPr>
            <w:tcW w:w="9287" w:type="dxa"/>
            <w:gridSpan w:val="3"/>
          </w:tcPr>
          <w:p w14:paraId="3B72AA9A"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*плацебоға қарсы p-мәні = 0,008</w:t>
            </w:r>
          </w:p>
          <w:p w14:paraId="3907A838" w14:textId="77777777" w:rsidR="00361B07" w:rsidRPr="00996810" w:rsidRDefault="002541C1"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 плацебоға қарсы p-мәні = 0,537</w:t>
            </w:r>
          </w:p>
        </w:tc>
      </w:tr>
    </w:tbl>
    <w:p w14:paraId="5BD42FBB"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Екінші салыстырмалы жасырын зерттеуде ВТЭ жоқ және ұршықбуынын алмастыру операциясы жасалған бастапқыда ауруханаға жатқызылған кезде тері астына натрий эноксапаринін 4000 ХБ (40 мг) қабылдаған 262 пациент шығарылғаннан кейін натрий эноксапаринін 4000 ХБ (40 мг) (n=131) теріастына күніне бір рет режимі тобына немесе 3 апта бойы плацебо тобына (n=131) рандомизацияланды. Бірінші зерттеуге ұқсас кеңейтілген профилактика кезінде ВТЭ жиілігі плацебомен салыстырғанда натрий эноксапарині үшін, жалпы ВТЭ үшін де (натрий эноксапарині 21 [16%] плацебомен салыстырғанда 45 [34,4%]; p=0,001), проксимальді ТВТ үшін де (натрий эноксапарині 8 [6,1%] плацебомен салыстырғанда 28 [21,4%]; p=&lt;0,001) айтарлықтай төмен болды. Натрий эноксапарині мен плацебо топтары арасында ауыр қан кетулердің жиілігінде ешқандай айырмашылық анықталмады.</w:t>
      </w:r>
    </w:p>
    <w:p w14:paraId="76380E0B"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996810">
        <w:rPr>
          <w:rFonts w:ascii="Times New Roman" w:eastAsia="Times New Roman" w:hAnsi="Times New Roman" w:cs="Times New Roman"/>
          <w:i/>
          <w:iCs/>
          <w:color w:val="000000"/>
          <w:sz w:val="24"/>
          <w:szCs w:val="24"/>
          <w:lang w:val="kk" w:eastAsia="ru-RU"/>
        </w:rPr>
        <w:t>Онкологиялық операциядан кейін тереңдегі вена тромбозының кеңейтілген профилактикасы</w:t>
      </w:r>
    </w:p>
    <w:p w14:paraId="5F7FB886" w14:textId="77777777" w:rsidR="00144D6C" w:rsidRPr="00996810" w:rsidRDefault="00144D6C"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1D6E8B0"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Салыстырмалы жасырын көп орталықты зерттеу құрсақ қуысы немесе жамбас обырына байланысты жоспарланған операция жасалған 332 пациенттің қауіпсіздігі мен тиімділігі тұрғысынан натрий эноксапарині профилактикасының төрт апталық және бір апталық режимдерін салыстырды. Пациенттер натрий эноксапаринін (тері астына 4000 ХБ (40 мг)) күн сайын 6-10 күн бойы қабылдады, содан кейін кездейсоқ түрде натрий эноксапаринін немесе плацебоны тағы 21 күн алу үшін бөлінді. Екіжақты флебография 25-ші және 31-күндер аралығында немесе егер вена тромбоэмболиясы симптомдары пайда болса, ертерек жүргізілді. Пациенттер үш ай бойы бақыланды. Құрсақ қуысы </w:t>
      </w:r>
      <w:r w:rsidRPr="00996810">
        <w:rPr>
          <w:rFonts w:ascii="Times New Roman" w:eastAsia="Times New Roman" w:hAnsi="Times New Roman" w:cs="Times New Roman"/>
          <w:color w:val="000000"/>
          <w:sz w:val="24"/>
          <w:szCs w:val="24"/>
          <w:lang w:val="kk" w:eastAsia="ru-RU"/>
        </w:rPr>
        <w:lastRenderedPageBreak/>
        <w:t>немесе жамбастың обырына байланысты операциядан кейін төрт апта ішінде натрий эноксапаринімен профилактика бір апта бойы натрий эноксапарині профилактикасымен салыстырғанда флебографиямен расталған тромбоздың жиілігін айтарлықтай төмендетті. Салыстырмалы жасырын фазаның соңында вена тромбоэмболиясының жиілігі плацебо тобында 12,0% (n=20) және натрий эноксапарині тобында 4,8% (n=8) құрады; p=0,02. Бұл айырмашылық үш ай бойы сақталды [13,8% қарсы 5,5% (n=23 қарсы 9), p = 0,01]. Салыстырмалы жасырын фазада немесе бақылау кезеңінде қан кетудің немесе басқа асқынулардың жиілігінде айырмашылықтар болған жоқ.</w:t>
      </w:r>
    </w:p>
    <w:p w14:paraId="6CA97303"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kk" w:eastAsia="ru-RU"/>
        </w:rPr>
      </w:pPr>
      <w:r w:rsidRPr="00996810">
        <w:rPr>
          <w:rFonts w:ascii="Times New Roman" w:eastAsia="Times New Roman" w:hAnsi="Times New Roman" w:cs="Times New Roman"/>
          <w:i/>
          <w:iCs/>
          <w:color w:val="000000"/>
          <w:sz w:val="24"/>
          <w:szCs w:val="24"/>
          <w:lang w:val="kk" w:eastAsia="ru-RU"/>
        </w:rPr>
        <w:t>Қозғалуының шектелуіне әкелуі мүмкін жедел ауруы бар пациенттерде вена тромбоэмболиясының профилактикасы</w:t>
      </w:r>
    </w:p>
    <w:p w14:paraId="3BAE3A71"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Параллель топтармен салыстырмалы жасырын көп орталықты зерттеуде күніне бір рет тері астына натрий эноксапарині 2000 ХБ (20 мг) немесе 4000 ХБ (40 мг) жедел ауру кезінде қозғалуы ауыр шектелген терең вена тромбозының профилактикасы кезінде плацебомен салыстырылды (жүру қашықтығы ретінде анықталады) ≤ 3 күн ішінде &lt;10 метр). Бұл зерттеуге жүрек функциясының жеткіліксіздігі (NYHA III немесе IV класс); жедел тыныс алу жеткіліксіздігі немесе асқынған созылмалы тыныс алу жеткіліксіздігі бар, сондай-ақ жедел инфекциясы немесе жедел ревматизмі бар пациенттер енгізілді; егер бұл кем дегенде бір ВТЭ қауіп факторына байланысты болса (жасы ≥ 75 жас, ВТЭ алдындағы обыр, семіздік, веналардың варикозды кеңеюі, гормондық ем және жүрек функциясының немесе тыныс алудың созылмалы жеткіліксіздігі).</w:t>
      </w:r>
    </w:p>
    <w:p w14:paraId="2604E0BC"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Зерттеуге барлығы 1102 пациент енгізілді және 1073 пациент емделді. Емдеу 6-14 күнге созылды (орташа ұзақтығы 7 күн). 4000 ХБ (40 мг) дозада күніне бір рет тері астына енгізгенде, натрий эноксапарині плацебомен салыстырғанда ВТЭ жиілігін айтарлықтай төмендетті. Тиімділігі туралы деректер төмендегі кестеде берілген.</w:t>
      </w:r>
    </w:p>
    <w:tbl>
      <w:tblPr>
        <w:tblStyle w:val="aa"/>
        <w:tblW w:w="0" w:type="auto"/>
        <w:tblLook w:val="04A0" w:firstRow="1" w:lastRow="0" w:firstColumn="1" w:lastColumn="0" w:noHBand="0" w:noVBand="1"/>
      </w:tblPr>
      <w:tblGrid>
        <w:gridCol w:w="2321"/>
        <w:gridCol w:w="2322"/>
        <w:gridCol w:w="2322"/>
        <w:gridCol w:w="2322"/>
      </w:tblGrid>
      <w:tr w:rsidR="00F05490" w:rsidRPr="00996810" w14:paraId="2EDF9E09" w14:textId="77777777" w:rsidTr="00144D6C">
        <w:tc>
          <w:tcPr>
            <w:tcW w:w="2321" w:type="dxa"/>
          </w:tcPr>
          <w:p w14:paraId="242E646A" w14:textId="77777777" w:rsidR="00144D6C" w:rsidRPr="00996810"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p>
        </w:tc>
        <w:tc>
          <w:tcPr>
            <w:tcW w:w="2322" w:type="dxa"/>
          </w:tcPr>
          <w:p w14:paraId="22CF015D"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Натрий эноксапарині</w:t>
            </w:r>
          </w:p>
          <w:p w14:paraId="7A7411DE"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2000 ХБ (20 мг)</w:t>
            </w:r>
          </w:p>
          <w:p w14:paraId="51DE5D9F"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күніне бір рет тері астына</w:t>
            </w:r>
          </w:p>
          <w:p w14:paraId="5ABA6CDC"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n (%)</w:t>
            </w:r>
          </w:p>
        </w:tc>
        <w:tc>
          <w:tcPr>
            <w:tcW w:w="2322" w:type="dxa"/>
          </w:tcPr>
          <w:p w14:paraId="3CEF146E"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Натрий эноксапарині</w:t>
            </w:r>
          </w:p>
          <w:p w14:paraId="3AEF9801"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4000 ХБ (40 мг)</w:t>
            </w:r>
          </w:p>
          <w:p w14:paraId="14A72240"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күніне бір рет тері астына</w:t>
            </w:r>
          </w:p>
          <w:p w14:paraId="6AD9BA74"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n (%)</w:t>
            </w:r>
          </w:p>
        </w:tc>
        <w:tc>
          <w:tcPr>
            <w:tcW w:w="2322" w:type="dxa"/>
          </w:tcPr>
          <w:p w14:paraId="3DD2DFBD"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Плацебо</w:t>
            </w:r>
          </w:p>
          <w:p w14:paraId="5DDE2934"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n (%)</w:t>
            </w:r>
          </w:p>
        </w:tc>
      </w:tr>
      <w:tr w:rsidR="00F05490" w:rsidRPr="00996810" w14:paraId="27CE9EC6" w14:textId="77777777" w:rsidTr="00144D6C">
        <w:tc>
          <w:tcPr>
            <w:tcW w:w="2321" w:type="dxa"/>
          </w:tcPr>
          <w:p w14:paraId="53BE998F"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Жедел ауру кезінде барлық емделген пациенттер</w:t>
            </w:r>
          </w:p>
        </w:tc>
        <w:tc>
          <w:tcPr>
            <w:tcW w:w="2322" w:type="dxa"/>
          </w:tcPr>
          <w:p w14:paraId="5215D811"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287 (100)</w:t>
            </w:r>
          </w:p>
        </w:tc>
        <w:tc>
          <w:tcPr>
            <w:tcW w:w="2322" w:type="dxa"/>
          </w:tcPr>
          <w:p w14:paraId="2B0EEB34"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291(100)</w:t>
            </w:r>
          </w:p>
        </w:tc>
        <w:tc>
          <w:tcPr>
            <w:tcW w:w="2322" w:type="dxa"/>
          </w:tcPr>
          <w:p w14:paraId="7661FA5C"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288 (100)</w:t>
            </w:r>
          </w:p>
        </w:tc>
      </w:tr>
      <w:tr w:rsidR="00F05490" w:rsidRPr="00996810" w14:paraId="40163971" w14:textId="77777777" w:rsidTr="00144D6C">
        <w:tc>
          <w:tcPr>
            <w:tcW w:w="2321" w:type="dxa"/>
          </w:tcPr>
          <w:p w14:paraId="3CADD571"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Жалпы ВТЭ (%)</w:t>
            </w:r>
          </w:p>
        </w:tc>
        <w:tc>
          <w:tcPr>
            <w:tcW w:w="2322" w:type="dxa"/>
          </w:tcPr>
          <w:p w14:paraId="73E21CC6"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43 (15.0)</w:t>
            </w:r>
          </w:p>
        </w:tc>
        <w:tc>
          <w:tcPr>
            <w:tcW w:w="2322" w:type="dxa"/>
          </w:tcPr>
          <w:p w14:paraId="4476D822"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16 (5.5)*</w:t>
            </w:r>
          </w:p>
        </w:tc>
        <w:tc>
          <w:tcPr>
            <w:tcW w:w="2322" w:type="dxa"/>
          </w:tcPr>
          <w:p w14:paraId="1E4E621A"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43 (14.9)</w:t>
            </w:r>
          </w:p>
        </w:tc>
      </w:tr>
      <w:tr w:rsidR="00F05490" w:rsidRPr="00996810" w14:paraId="2277265A" w14:textId="77777777" w:rsidTr="00144D6C">
        <w:tc>
          <w:tcPr>
            <w:tcW w:w="2321" w:type="dxa"/>
          </w:tcPr>
          <w:p w14:paraId="2FA66E28"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Тереңдегі веналардың жалпы тромбозы (%)</w:t>
            </w:r>
          </w:p>
        </w:tc>
        <w:tc>
          <w:tcPr>
            <w:tcW w:w="2322" w:type="dxa"/>
          </w:tcPr>
          <w:p w14:paraId="1EDCC0A9"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43 (15.0)</w:t>
            </w:r>
          </w:p>
        </w:tc>
        <w:tc>
          <w:tcPr>
            <w:tcW w:w="2322" w:type="dxa"/>
          </w:tcPr>
          <w:p w14:paraId="15D7DBDA"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16 (5.5)</w:t>
            </w:r>
          </w:p>
        </w:tc>
        <w:tc>
          <w:tcPr>
            <w:tcW w:w="2322" w:type="dxa"/>
          </w:tcPr>
          <w:p w14:paraId="151A067A"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40 (13.9)</w:t>
            </w:r>
          </w:p>
        </w:tc>
      </w:tr>
      <w:tr w:rsidR="00F05490" w:rsidRPr="00996810" w14:paraId="7AA7712A" w14:textId="77777777" w:rsidTr="00144D6C">
        <w:tc>
          <w:tcPr>
            <w:tcW w:w="2321" w:type="dxa"/>
          </w:tcPr>
          <w:p w14:paraId="50070EBB"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Терең веналардың проксимальді тромбозы (%)</w:t>
            </w:r>
          </w:p>
        </w:tc>
        <w:tc>
          <w:tcPr>
            <w:tcW w:w="2322" w:type="dxa"/>
          </w:tcPr>
          <w:p w14:paraId="39CCF313"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13 (4.5)</w:t>
            </w:r>
          </w:p>
        </w:tc>
        <w:tc>
          <w:tcPr>
            <w:tcW w:w="2322" w:type="dxa"/>
          </w:tcPr>
          <w:p w14:paraId="06960343"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5 (1.7)</w:t>
            </w:r>
          </w:p>
        </w:tc>
        <w:tc>
          <w:tcPr>
            <w:tcW w:w="2322" w:type="dxa"/>
          </w:tcPr>
          <w:p w14:paraId="4407CF45"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14 (4.9)</w:t>
            </w:r>
          </w:p>
        </w:tc>
      </w:tr>
      <w:tr w:rsidR="00F05490" w:rsidRPr="00996810" w14:paraId="017DC2E5" w14:textId="77777777" w:rsidTr="00177591">
        <w:tc>
          <w:tcPr>
            <w:tcW w:w="9287" w:type="dxa"/>
            <w:gridSpan w:val="4"/>
          </w:tcPr>
          <w:p w14:paraId="04AD5611"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ВТЭ = терең веналар тромбозын, өкпе артериясының тромбоэмболиясын және тромбоэмболияға байланысты деп саналатын өлімді қамтитын венаның тромбоэмболиялық оқиғалары</w:t>
            </w:r>
          </w:p>
          <w:p w14:paraId="08CB7CC2"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 плацебомен салыстырғанда p мәні = 0,0002</w:t>
            </w:r>
          </w:p>
        </w:tc>
      </w:tr>
    </w:tbl>
    <w:p w14:paraId="50AA894E" w14:textId="77777777" w:rsidR="00EA0157" w:rsidRPr="00996810" w:rsidRDefault="002541C1" w:rsidP="00EA01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Зерттеуге енгізілгеннен кейін шамамен 3 айдан соң ВТЭ жиілігі плацебо емдеу тобымен салыстырғанда натрий эноксапаринімен 4000 ХБ (40 мг) емдеу тобында айтарлықтай төмен болып қалды.</w:t>
      </w:r>
    </w:p>
    <w:p w14:paraId="3962656E"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Жалпы және үлкен қан кету жиілігі плацебо тобында тиісінше 8,6% және 1,1%, 2000 ХБ (20 мг) натрий эноксапарині тобында 11,7% және 0,3% және 4000 ХБ (40 мг) натрий эноксапарині тобында 12,6% және 1,7% құрады.</w:t>
      </w:r>
    </w:p>
    <w:p w14:paraId="0EDA0814"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996810">
        <w:rPr>
          <w:rFonts w:ascii="Times New Roman" w:eastAsia="Times New Roman" w:hAnsi="Times New Roman" w:cs="Times New Roman"/>
          <w:i/>
          <w:iCs/>
          <w:sz w:val="24"/>
          <w:szCs w:val="24"/>
          <w:lang w:val="kk" w:eastAsia="en-GB"/>
        </w:rPr>
        <w:lastRenderedPageBreak/>
        <w:t>Өкпе артериясының тромбоэмболиясымен немесе онсыз терең веналар тромбозын емдеу</w:t>
      </w:r>
    </w:p>
    <w:p w14:paraId="5D7495F2" w14:textId="77777777" w:rsidR="00361B07" w:rsidRPr="00996810" w:rsidRDefault="002541C1" w:rsidP="009C6F48">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96810">
        <w:rPr>
          <w:rFonts w:ascii="Times New Roman" w:eastAsia="Times New Roman" w:hAnsi="Times New Roman" w:cs="Times New Roman"/>
          <w:sz w:val="24"/>
          <w:szCs w:val="24"/>
          <w:lang w:val="kk" w:eastAsia="en-GB"/>
        </w:rPr>
        <w:t>Параллель топтармен көп орталықты зерттеуде өкпе артериясының тромбоэмболиясы бар немесе онсыз аяқтардың жедел тромбозы бар 900 пациент стационарлық (ауруханалық) емдеуге немесе (і) натрий эноксапаринімен 150 ХБ/кг (1,5 мг/кг) күніне бір рет тері астына, (ii) натрий эноксапаринімен 100 ХБ/кг (1 мг / кг) әр 12 сағат сайын тері астына немесе (ііі) гепаринмен вена ішіне болюсті (5000 ХБ), содан кейін үздіксіз инфузиямен (ІБТУ 55-85 секундқа жету үшін енгізілетін) емдеуге рандомизацияланды. Зерттеуге барлығы 900 пациент рандомизацияланды және барлық пациент емделді. Барлық пациент натрий эноксапаринімен немесе стандартты гепарин терапиясымен емдеуді бастағаннан кейін 72- сағаттан бастап және 90 күнге дейін жалғасатын натрий варфаринін (дозасы ХҚҚ 2,0–3,0 жету үшін протромбин уақытына сәйкес түзетілді) алды. Натрий эноксапарині немесе стандартты гепарин терапиясы кем дегенде 5 күн бойы және натрий варфаринінің мақсатты ХҚҚ жеткенге дейін тағайындалды. Натрий эноксапаринімен емдеудің екі режимі де қайталанатын вена тромбоэмболиясының (ТВТ және/немесе ӨАТЭ) қаупін азайтуда стандартты гепарин терапиясына тең болды. Тиімділігі туралы деректер төмендегі кестеде берілген.</w:t>
      </w:r>
    </w:p>
    <w:tbl>
      <w:tblPr>
        <w:tblStyle w:val="aa"/>
        <w:tblW w:w="0" w:type="auto"/>
        <w:tblLook w:val="04A0" w:firstRow="1" w:lastRow="0" w:firstColumn="1" w:lastColumn="0" w:noHBand="0" w:noVBand="1"/>
      </w:tblPr>
      <w:tblGrid>
        <w:gridCol w:w="2308"/>
        <w:gridCol w:w="2300"/>
        <w:gridCol w:w="2300"/>
        <w:gridCol w:w="2379"/>
      </w:tblGrid>
      <w:tr w:rsidR="00F05490" w:rsidRPr="00996810" w14:paraId="5C3B1C33" w14:textId="77777777" w:rsidTr="009C6F48">
        <w:tc>
          <w:tcPr>
            <w:tcW w:w="2308" w:type="dxa"/>
          </w:tcPr>
          <w:p w14:paraId="5CA944F9" w14:textId="77777777" w:rsidR="009C6F48" w:rsidRPr="00996810"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p>
        </w:tc>
        <w:tc>
          <w:tcPr>
            <w:tcW w:w="2300" w:type="dxa"/>
          </w:tcPr>
          <w:p w14:paraId="64C7D90D"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Натрий эноксапарині</w:t>
            </w:r>
          </w:p>
          <w:p w14:paraId="61DEA455"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150 ХБ/кг (1,5 мг / кг)</w:t>
            </w:r>
          </w:p>
          <w:p w14:paraId="35533E33"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күніне бір рет тері астына</w:t>
            </w:r>
          </w:p>
          <w:p w14:paraId="558604E4"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 (%)</w:t>
            </w:r>
          </w:p>
        </w:tc>
        <w:tc>
          <w:tcPr>
            <w:tcW w:w="2300" w:type="dxa"/>
          </w:tcPr>
          <w:p w14:paraId="11767AEB"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Натрий эноксапарині</w:t>
            </w:r>
          </w:p>
          <w:p w14:paraId="095645EB"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100 ХБ/кг (1 мг / кг)</w:t>
            </w:r>
          </w:p>
          <w:p w14:paraId="4DC4F2DB"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күніне екі рет тері астына</w:t>
            </w:r>
          </w:p>
          <w:p w14:paraId="17A59507"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 (%)</w:t>
            </w:r>
          </w:p>
        </w:tc>
        <w:tc>
          <w:tcPr>
            <w:tcW w:w="2379" w:type="dxa"/>
          </w:tcPr>
          <w:p w14:paraId="4652DC60"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Гепарин</w:t>
            </w:r>
          </w:p>
          <w:p w14:paraId="73DD1681"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ІБТУ түзетілген венаішілік ем</w:t>
            </w:r>
          </w:p>
          <w:p w14:paraId="03B54595"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 (%)</w:t>
            </w:r>
          </w:p>
        </w:tc>
      </w:tr>
      <w:tr w:rsidR="00F05490" w:rsidRPr="00996810" w14:paraId="4DAA1C16" w14:textId="77777777" w:rsidTr="009C6F48">
        <w:tc>
          <w:tcPr>
            <w:tcW w:w="2308" w:type="dxa"/>
          </w:tcPr>
          <w:p w14:paraId="62B5BDC5"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Терең веналар тромбозы бар, емделген, өкпе артериясының тромбоэмболиясы бар немесе жоқ барлық пациенттер</w:t>
            </w:r>
          </w:p>
        </w:tc>
        <w:tc>
          <w:tcPr>
            <w:tcW w:w="2300" w:type="dxa"/>
          </w:tcPr>
          <w:p w14:paraId="713E2852"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298 (100)</w:t>
            </w:r>
          </w:p>
        </w:tc>
        <w:tc>
          <w:tcPr>
            <w:tcW w:w="2300" w:type="dxa"/>
          </w:tcPr>
          <w:p w14:paraId="789DD85B"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312 (100)</w:t>
            </w:r>
          </w:p>
        </w:tc>
        <w:tc>
          <w:tcPr>
            <w:tcW w:w="2379" w:type="dxa"/>
          </w:tcPr>
          <w:p w14:paraId="5A8223F4"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290 (100)</w:t>
            </w:r>
          </w:p>
        </w:tc>
      </w:tr>
      <w:tr w:rsidR="00F05490" w:rsidRPr="00996810" w14:paraId="544A769C" w14:textId="77777777" w:rsidTr="009C6F48">
        <w:tc>
          <w:tcPr>
            <w:tcW w:w="2308" w:type="dxa"/>
          </w:tcPr>
          <w:p w14:paraId="120446AC"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Жалпы ВТЭ (%)</w:t>
            </w:r>
          </w:p>
        </w:tc>
        <w:tc>
          <w:tcPr>
            <w:tcW w:w="2300" w:type="dxa"/>
          </w:tcPr>
          <w:p w14:paraId="4917DD52"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13 (4.4)*</w:t>
            </w:r>
          </w:p>
        </w:tc>
        <w:tc>
          <w:tcPr>
            <w:tcW w:w="2300" w:type="dxa"/>
          </w:tcPr>
          <w:p w14:paraId="33926C68"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9 (2.9)*</w:t>
            </w:r>
          </w:p>
        </w:tc>
        <w:tc>
          <w:tcPr>
            <w:tcW w:w="2379" w:type="dxa"/>
          </w:tcPr>
          <w:p w14:paraId="13558E8D"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12 (4.1)</w:t>
            </w:r>
          </w:p>
        </w:tc>
      </w:tr>
      <w:tr w:rsidR="00F05490" w:rsidRPr="00996810" w14:paraId="7CC9BED7" w14:textId="77777777" w:rsidTr="009C6F48">
        <w:tc>
          <w:tcPr>
            <w:tcW w:w="2308" w:type="dxa"/>
          </w:tcPr>
          <w:p w14:paraId="47B53223"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Тек терең веналар тромбозы (%)</w:t>
            </w:r>
          </w:p>
        </w:tc>
        <w:tc>
          <w:tcPr>
            <w:tcW w:w="2300" w:type="dxa"/>
          </w:tcPr>
          <w:p w14:paraId="0D513F09"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11 (3.7)</w:t>
            </w:r>
          </w:p>
        </w:tc>
        <w:tc>
          <w:tcPr>
            <w:tcW w:w="2300" w:type="dxa"/>
          </w:tcPr>
          <w:p w14:paraId="00EBF957"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 (2.2)</w:t>
            </w:r>
          </w:p>
        </w:tc>
        <w:tc>
          <w:tcPr>
            <w:tcW w:w="2379" w:type="dxa"/>
          </w:tcPr>
          <w:p w14:paraId="77C93380"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8 (2.8)</w:t>
            </w:r>
          </w:p>
        </w:tc>
      </w:tr>
      <w:tr w:rsidR="00F05490" w:rsidRPr="00996810" w14:paraId="414BF5A1" w14:textId="77777777" w:rsidTr="009C6F48">
        <w:tc>
          <w:tcPr>
            <w:tcW w:w="2308" w:type="dxa"/>
          </w:tcPr>
          <w:p w14:paraId="62AB47E6"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Терең веналардың проксимальді тромбозы (%)</w:t>
            </w:r>
          </w:p>
        </w:tc>
        <w:tc>
          <w:tcPr>
            <w:tcW w:w="2300" w:type="dxa"/>
          </w:tcPr>
          <w:p w14:paraId="5FF21DE4"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9 (3.0)</w:t>
            </w:r>
          </w:p>
        </w:tc>
        <w:tc>
          <w:tcPr>
            <w:tcW w:w="2300" w:type="dxa"/>
          </w:tcPr>
          <w:p w14:paraId="66719DC6"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 (1.9)</w:t>
            </w:r>
          </w:p>
        </w:tc>
        <w:tc>
          <w:tcPr>
            <w:tcW w:w="2379" w:type="dxa"/>
          </w:tcPr>
          <w:p w14:paraId="2FBEAEFD"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 (2.4)</w:t>
            </w:r>
          </w:p>
        </w:tc>
      </w:tr>
      <w:tr w:rsidR="00F05490" w:rsidRPr="00996810" w14:paraId="0EA2CBE7" w14:textId="77777777" w:rsidTr="009C6F48">
        <w:tc>
          <w:tcPr>
            <w:tcW w:w="2308" w:type="dxa"/>
          </w:tcPr>
          <w:p w14:paraId="1A1AF38A"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ПЭ (%)</w:t>
            </w:r>
          </w:p>
        </w:tc>
        <w:tc>
          <w:tcPr>
            <w:tcW w:w="2300" w:type="dxa"/>
          </w:tcPr>
          <w:p w14:paraId="16FDA4A4"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 (0.7)</w:t>
            </w:r>
          </w:p>
        </w:tc>
        <w:tc>
          <w:tcPr>
            <w:tcW w:w="2300" w:type="dxa"/>
          </w:tcPr>
          <w:p w14:paraId="1BA1E133"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 (0.6)</w:t>
            </w:r>
          </w:p>
        </w:tc>
        <w:tc>
          <w:tcPr>
            <w:tcW w:w="2379" w:type="dxa"/>
          </w:tcPr>
          <w:p w14:paraId="2C492F28"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 (1.4)</w:t>
            </w:r>
          </w:p>
        </w:tc>
      </w:tr>
      <w:tr w:rsidR="00F05490" w:rsidRPr="00996810" w14:paraId="60D5DB52" w14:textId="77777777" w:rsidTr="00177591">
        <w:tc>
          <w:tcPr>
            <w:tcW w:w="9287" w:type="dxa"/>
            <w:gridSpan w:val="4"/>
          </w:tcPr>
          <w:p w14:paraId="16752381"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ВТЭ = вена тромбоэмболиясы оқиғасы (ТВТ және/немесе ӨАТЭ)</w:t>
            </w:r>
          </w:p>
          <w:p w14:paraId="26DFC363"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 Жалпы ВТЭ үшін емдеудегі айырмашылықтар үшін 95% сенімді аралықтар:</w:t>
            </w:r>
          </w:p>
          <w:p w14:paraId="7157774B"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натрий эноксапарині гепаринмен салыстырғанда күніне бір рет (-3,0-3,5)</w:t>
            </w:r>
          </w:p>
          <w:p w14:paraId="43885947"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натрий эноксапарині гепаринмен салыстырғанда әр 12 сағат сайын (-4,2 – 1,7).</w:t>
            </w:r>
          </w:p>
        </w:tc>
      </w:tr>
    </w:tbl>
    <w:p w14:paraId="074BD386" w14:textId="77777777" w:rsidR="00EA0157" w:rsidRPr="00996810" w:rsidRDefault="002541C1" w:rsidP="005D790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96810">
        <w:rPr>
          <w:rFonts w:ascii="Times New Roman" w:eastAsia="Times New Roman" w:hAnsi="Times New Roman" w:cs="Times New Roman"/>
          <w:sz w:val="24"/>
          <w:szCs w:val="24"/>
          <w:lang w:val="kk" w:eastAsia="en-GB"/>
        </w:rPr>
        <w:t>Жаппай қан кету күніне бір рет 150 ХБ/кг (1,5 мг/кг) натрий эноксапарині тобында сәйкесінше 1,7%, күніне екі рет 100 ХБ/кг (1 мг/кг) натрий эноксапарині тобында 1,3% және гепарин тобында 2,1% құрады.</w:t>
      </w:r>
    </w:p>
    <w:p w14:paraId="02FE8364" w14:textId="77777777" w:rsidR="00EA0157" w:rsidRPr="00996810" w:rsidRDefault="002541C1" w:rsidP="005D7901">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996810">
        <w:rPr>
          <w:rFonts w:ascii="Times New Roman" w:eastAsia="Times New Roman" w:hAnsi="Times New Roman" w:cs="Times New Roman"/>
          <w:i/>
          <w:iCs/>
          <w:sz w:val="24"/>
          <w:szCs w:val="24"/>
          <w:lang w:val="kk" w:eastAsia="en-GB"/>
        </w:rPr>
        <w:t>Терең веналар тромбозын (ТВТ) және өкпе артериясының тромбоэмболиясын (ӨАТЭ) кеңейтілген емдеу және белсенді обыры бар пациенттерде олардың қайталануының профилактикасы</w:t>
      </w:r>
    </w:p>
    <w:p w14:paraId="79034048"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96810">
        <w:rPr>
          <w:rFonts w:ascii="Times New Roman" w:eastAsia="Times New Roman" w:hAnsi="Times New Roman" w:cs="Times New Roman"/>
          <w:sz w:val="24"/>
          <w:szCs w:val="24"/>
          <w:lang w:val="kk" w:eastAsia="en-GB"/>
        </w:rPr>
        <w:t>Пациенттердің саны шектеулі клиникалық сынақтарда 3-6 ай бойы күніне бір немесе екі рет  эноксапарин қабылдаған пациенттерде ВТЭ қайталануының хабарланған көрсеткіштері варфарин қабылдаған кездегімен салыстырмалы болды.</w:t>
      </w:r>
    </w:p>
    <w:p w14:paraId="0CC609C4" w14:textId="77777777" w:rsidR="009C6F48" w:rsidRPr="00996810" w:rsidRDefault="002541C1" w:rsidP="00317462">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lastRenderedPageBreak/>
        <w:t>Нақты жағдайдағы тиімділік ВТЭ және басқа тромбоздық жағдайлары бар пациенттердің көпұлтты RIETE тіркелімінен симптоматикалық ВТЭ және белсенді обыры бар 4451 пациенттің когортасында бағаланды. 3526 пациент 6 айға дейін тері астына эноксапарин, ал 925 пациент тері астына тинзапарин немесе дальтепарин қабылдады. Эноксапаринмен ем қабылдаған 3526 пациенттің ішінде 891 пациент бастапқы ем ретінде күніне бір рет 1,5 мг/кг және 6 айға дейін ұзартылған ем қабылдады (күніне бір рет қана), 1854 пациент күніне екі рет 1,0 мг/кг бастапқы дозаны және 6 айға дейін ұзартылған емді алды (күніне екі рет қана), ал 687 пациент күніне екі рет бастапқы ем ретінде 1,0 мг/кг, содан кейін күніне бір рет 1,5 мг/кг (күніне екі рет-күніне бір рет) 6 айға дейін ұзартылған ем ретінде қабылдады. Режим өзгергенге дейін емдеудің орташа және медианалық ұзақтығы сәйкесінше 17 күнді және 8 күнді құрады. Емдеудің екі тобы арасында ВТЭ қайталану жиілігінде айтарлықтай айырмашылық болған жоқ (кестені қараңыз), эноксапарин алдын ала белгіленген 1,5 тиімділік критерийіне сәйкес келді (HR, тиісті ковариаттар бойынша түзетілген 0,817, 95% СА: 0,499–1,336). Екі емдеу тобының арасында қандай да бір себептермен жаппай (өлімге әкелетін немесе өлімге әкелмейтін) қан кету мен өлімнің салыстырмалы қаупіне қатысты статистикалық маңызды айырмашылық анықталған жоқ (кестені қараңыз).</w:t>
      </w:r>
    </w:p>
    <w:p w14:paraId="24715522"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Кесте: RIETECAT зерттеуіндегі тиімділік пен қауіпсіздік нәтижелері</w:t>
      </w:r>
    </w:p>
    <w:tbl>
      <w:tblPr>
        <w:tblStyle w:val="aa"/>
        <w:tblW w:w="0" w:type="auto"/>
        <w:tblLook w:val="04A0" w:firstRow="1" w:lastRow="0" w:firstColumn="1" w:lastColumn="0" w:noHBand="0" w:noVBand="1"/>
      </w:tblPr>
      <w:tblGrid>
        <w:gridCol w:w="2119"/>
        <w:gridCol w:w="2137"/>
        <w:gridCol w:w="2541"/>
        <w:gridCol w:w="2490"/>
      </w:tblGrid>
      <w:tr w:rsidR="00F05490" w:rsidRPr="00996810" w14:paraId="3594B65D" w14:textId="77777777" w:rsidTr="00317462">
        <w:tc>
          <w:tcPr>
            <w:tcW w:w="2119" w:type="dxa"/>
          </w:tcPr>
          <w:p w14:paraId="2ADBC448"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Нәтиже</w:t>
            </w:r>
          </w:p>
        </w:tc>
        <w:tc>
          <w:tcPr>
            <w:tcW w:w="2137" w:type="dxa"/>
          </w:tcPr>
          <w:p w14:paraId="4C05CA35"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w:t>
            </w:r>
          </w:p>
          <w:p w14:paraId="152B3B1C"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n=3526</w:t>
            </w:r>
          </w:p>
        </w:tc>
        <w:tc>
          <w:tcPr>
            <w:tcW w:w="2541" w:type="dxa"/>
          </w:tcPr>
          <w:p w14:paraId="36874B35"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Басқа ТМГ (төмен молекулалы гепариндер)</w:t>
            </w:r>
          </w:p>
          <w:p w14:paraId="7F5D0645"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n=925</w:t>
            </w:r>
          </w:p>
        </w:tc>
        <w:tc>
          <w:tcPr>
            <w:tcW w:w="2490" w:type="dxa"/>
          </w:tcPr>
          <w:p w14:paraId="2EC672FD"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Қауіптің түзетілген коэффициенттері</w:t>
            </w:r>
          </w:p>
          <w:p w14:paraId="0E36195F"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 басқа ТМГ</w:t>
            </w:r>
          </w:p>
          <w:p w14:paraId="4C781399"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[95% сенімділік аралығы]</w:t>
            </w:r>
          </w:p>
        </w:tc>
      </w:tr>
      <w:tr w:rsidR="00F05490" w:rsidRPr="00996810" w14:paraId="1BD87313" w14:textId="77777777" w:rsidTr="00317462">
        <w:tc>
          <w:tcPr>
            <w:tcW w:w="2119" w:type="dxa"/>
          </w:tcPr>
          <w:p w14:paraId="2524E933"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ВТЭ қайталануы</w:t>
            </w:r>
          </w:p>
        </w:tc>
        <w:tc>
          <w:tcPr>
            <w:tcW w:w="2137" w:type="dxa"/>
          </w:tcPr>
          <w:p w14:paraId="14131416"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70 (2.0%)</w:t>
            </w:r>
          </w:p>
        </w:tc>
        <w:tc>
          <w:tcPr>
            <w:tcW w:w="2541" w:type="dxa"/>
          </w:tcPr>
          <w:p w14:paraId="3AF63934"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23 (2.5%)</w:t>
            </w:r>
          </w:p>
        </w:tc>
        <w:tc>
          <w:tcPr>
            <w:tcW w:w="2490" w:type="dxa"/>
          </w:tcPr>
          <w:p w14:paraId="12FD55FC"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0.817, [ 0.499-1.336]</w:t>
            </w:r>
          </w:p>
        </w:tc>
      </w:tr>
      <w:tr w:rsidR="00F05490" w:rsidRPr="00996810" w14:paraId="779233C8" w14:textId="77777777" w:rsidTr="00317462">
        <w:tc>
          <w:tcPr>
            <w:tcW w:w="2119" w:type="dxa"/>
          </w:tcPr>
          <w:p w14:paraId="59C3612A"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Ауыр қан кету</w:t>
            </w:r>
          </w:p>
        </w:tc>
        <w:tc>
          <w:tcPr>
            <w:tcW w:w="2137" w:type="dxa"/>
          </w:tcPr>
          <w:p w14:paraId="37736A1D"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111 (3.1%)</w:t>
            </w:r>
          </w:p>
        </w:tc>
        <w:tc>
          <w:tcPr>
            <w:tcW w:w="2541" w:type="dxa"/>
          </w:tcPr>
          <w:p w14:paraId="61BABCEA"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18 (1.9%)</w:t>
            </w:r>
          </w:p>
        </w:tc>
        <w:tc>
          <w:tcPr>
            <w:tcW w:w="2490" w:type="dxa"/>
          </w:tcPr>
          <w:p w14:paraId="53EE49CE"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1.522, [ 0.899-2.577]</w:t>
            </w:r>
          </w:p>
        </w:tc>
      </w:tr>
      <w:tr w:rsidR="00F05490" w:rsidRPr="00996810" w14:paraId="7F7E3AEB" w14:textId="77777777" w:rsidTr="00317462">
        <w:tc>
          <w:tcPr>
            <w:tcW w:w="2119" w:type="dxa"/>
          </w:tcPr>
          <w:p w14:paraId="3ED97897"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Аздап қан кету</w:t>
            </w:r>
          </w:p>
        </w:tc>
        <w:tc>
          <w:tcPr>
            <w:tcW w:w="2137" w:type="dxa"/>
          </w:tcPr>
          <w:p w14:paraId="37F4194A"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87 (2.5%)</w:t>
            </w:r>
          </w:p>
        </w:tc>
        <w:tc>
          <w:tcPr>
            <w:tcW w:w="2541" w:type="dxa"/>
          </w:tcPr>
          <w:p w14:paraId="2A7AFCF5"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24 (2.6%)</w:t>
            </w:r>
          </w:p>
        </w:tc>
        <w:tc>
          <w:tcPr>
            <w:tcW w:w="2490" w:type="dxa"/>
          </w:tcPr>
          <w:p w14:paraId="4B470B02"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0.881, [0.550-1.410]</w:t>
            </w:r>
          </w:p>
        </w:tc>
      </w:tr>
      <w:tr w:rsidR="00F05490" w:rsidRPr="00996810" w14:paraId="7F6E04C7" w14:textId="77777777" w:rsidTr="00317462">
        <w:tc>
          <w:tcPr>
            <w:tcW w:w="2119" w:type="dxa"/>
          </w:tcPr>
          <w:p w14:paraId="28A7387E"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Жалпы өлім</w:t>
            </w:r>
          </w:p>
        </w:tc>
        <w:tc>
          <w:tcPr>
            <w:tcW w:w="2137" w:type="dxa"/>
          </w:tcPr>
          <w:p w14:paraId="322EFBA3"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666 (18.9%)</w:t>
            </w:r>
          </w:p>
        </w:tc>
        <w:tc>
          <w:tcPr>
            <w:tcW w:w="2541" w:type="dxa"/>
          </w:tcPr>
          <w:p w14:paraId="4F786917"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157 (17.0%)</w:t>
            </w:r>
          </w:p>
        </w:tc>
        <w:tc>
          <w:tcPr>
            <w:tcW w:w="2490" w:type="dxa"/>
          </w:tcPr>
          <w:p w14:paraId="59647F21"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0.974, [ 0.813-1.165]</w:t>
            </w:r>
          </w:p>
        </w:tc>
      </w:tr>
    </w:tbl>
    <w:p w14:paraId="3ABA46CC"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96810">
        <w:rPr>
          <w:rFonts w:ascii="Times New Roman" w:eastAsia="Times New Roman" w:hAnsi="Times New Roman" w:cs="Times New Roman"/>
          <w:sz w:val="24"/>
          <w:szCs w:val="24"/>
          <w:lang w:val="kk" w:eastAsia="en-GB"/>
        </w:rPr>
        <w:t>6 айды аяқтаған пациенттер арасында RIETECAT зерттеуінде қолданылған емдеу схемасы бойынша нәтижелерге шолу төменде берілген:</w:t>
      </w:r>
    </w:p>
    <w:p w14:paraId="173AC75E"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996810">
        <w:rPr>
          <w:rFonts w:ascii="Times New Roman" w:eastAsia="Times New Roman" w:hAnsi="Times New Roman" w:cs="Times New Roman"/>
          <w:b/>
          <w:bCs/>
          <w:sz w:val="24"/>
          <w:szCs w:val="24"/>
          <w:lang w:val="kk" w:eastAsia="en-GB"/>
        </w:rPr>
        <w:t>Кесте: 6 айлық емдеуді аяқтаған пациенттердегі 6 айлық нәтижелер, әртүрлі схемалар бойынша</w:t>
      </w:r>
    </w:p>
    <w:tbl>
      <w:tblPr>
        <w:tblStyle w:val="aa"/>
        <w:tblW w:w="0" w:type="auto"/>
        <w:tblLook w:val="04A0" w:firstRow="1" w:lastRow="0" w:firstColumn="1" w:lastColumn="0" w:noHBand="0" w:noVBand="1"/>
      </w:tblPr>
      <w:tblGrid>
        <w:gridCol w:w="1115"/>
        <w:gridCol w:w="1235"/>
        <w:gridCol w:w="1235"/>
        <w:gridCol w:w="1235"/>
        <w:gridCol w:w="1235"/>
        <w:gridCol w:w="1235"/>
        <w:gridCol w:w="1235"/>
        <w:gridCol w:w="762"/>
      </w:tblGrid>
      <w:tr w:rsidR="00F05490" w:rsidRPr="00996810" w14:paraId="08DCD1B9" w14:textId="77777777" w:rsidTr="002E629E">
        <w:tc>
          <w:tcPr>
            <w:tcW w:w="1206" w:type="dxa"/>
            <w:vMerge w:val="restart"/>
          </w:tcPr>
          <w:p w14:paraId="44FF3106" w14:textId="77777777" w:rsidR="002E629E"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Нәтижесі</w:t>
            </w:r>
          </w:p>
          <w:p w14:paraId="0D087EC9" w14:textId="77777777" w:rsidR="002E629E"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 (%)</w:t>
            </w:r>
          </w:p>
          <w:p w14:paraId="19F4A310" w14:textId="77777777" w:rsidR="002E629E"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(95% СА)</w:t>
            </w:r>
          </w:p>
        </w:tc>
        <w:tc>
          <w:tcPr>
            <w:tcW w:w="1207" w:type="dxa"/>
            <w:vMerge w:val="restart"/>
          </w:tcPr>
          <w:p w14:paraId="59205F93"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барлық схемалар</w:t>
            </w:r>
          </w:p>
          <w:p w14:paraId="49FF5E2C"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N=1432</w:t>
            </w:r>
          </w:p>
        </w:tc>
        <w:tc>
          <w:tcPr>
            <w:tcW w:w="1207" w:type="dxa"/>
          </w:tcPr>
          <w:p w14:paraId="64CC9AAB"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барлық схемалар</w:t>
            </w:r>
          </w:p>
        </w:tc>
        <w:tc>
          <w:tcPr>
            <w:tcW w:w="1207" w:type="dxa"/>
          </w:tcPr>
          <w:p w14:paraId="1856866A"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4A6F4063"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2905F26E"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99" w:type="dxa"/>
          </w:tcPr>
          <w:p w14:paraId="64321EFB"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747" w:type="dxa"/>
          </w:tcPr>
          <w:p w14:paraId="71DB65C9"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r>
      <w:tr w:rsidR="00F05490" w:rsidRPr="00996810" w14:paraId="16A98F19" w14:textId="77777777" w:rsidTr="002E629E">
        <w:tc>
          <w:tcPr>
            <w:tcW w:w="1206" w:type="dxa"/>
            <w:vMerge/>
          </w:tcPr>
          <w:p w14:paraId="1A6669DF"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vMerge/>
          </w:tcPr>
          <w:p w14:paraId="65F8444F"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006182AA"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w:t>
            </w:r>
          </w:p>
          <w:p w14:paraId="37DE5FD1"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Күніне бір рет</w:t>
            </w:r>
          </w:p>
          <w:p w14:paraId="690EA745"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N=444</w:t>
            </w:r>
          </w:p>
        </w:tc>
        <w:tc>
          <w:tcPr>
            <w:tcW w:w="1207" w:type="dxa"/>
          </w:tcPr>
          <w:p w14:paraId="72340231"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күніне екі рет</w:t>
            </w:r>
          </w:p>
          <w:p w14:paraId="504502DE"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N=529</w:t>
            </w:r>
          </w:p>
        </w:tc>
        <w:tc>
          <w:tcPr>
            <w:tcW w:w="1207" w:type="dxa"/>
          </w:tcPr>
          <w:p w14:paraId="028BDC3D"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күніне екі реттен күніне бір ретке дейін</w:t>
            </w:r>
          </w:p>
          <w:p w14:paraId="4A8CBE9E"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N=406</w:t>
            </w:r>
          </w:p>
        </w:tc>
        <w:tc>
          <w:tcPr>
            <w:tcW w:w="1207" w:type="dxa"/>
          </w:tcPr>
          <w:p w14:paraId="14797E8F"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күніне бір реттен екі ретке дейін</w:t>
            </w:r>
          </w:p>
          <w:p w14:paraId="13F8DF30"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N=14</w:t>
            </w:r>
          </w:p>
        </w:tc>
        <w:tc>
          <w:tcPr>
            <w:tcW w:w="1299" w:type="dxa"/>
          </w:tcPr>
          <w:p w14:paraId="4D96E07F"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Бірнеше рет ауысу</w:t>
            </w:r>
          </w:p>
          <w:p w14:paraId="302F3A7C"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N=39</w:t>
            </w:r>
          </w:p>
        </w:tc>
        <w:tc>
          <w:tcPr>
            <w:tcW w:w="747" w:type="dxa"/>
          </w:tcPr>
          <w:p w14:paraId="1EE3726D"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N=428</w:t>
            </w:r>
          </w:p>
        </w:tc>
      </w:tr>
      <w:tr w:rsidR="00F05490" w:rsidRPr="00996810" w14:paraId="7D4D6E16" w14:textId="77777777" w:rsidTr="002E629E">
        <w:tc>
          <w:tcPr>
            <w:tcW w:w="1206" w:type="dxa"/>
          </w:tcPr>
          <w:p w14:paraId="01E38136"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ВТЭ қайталануы</w:t>
            </w:r>
          </w:p>
        </w:tc>
        <w:tc>
          <w:tcPr>
            <w:tcW w:w="1207" w:type="dxa"/>
          </w:tcPr>
          <w:p w14:paraId="0FE0A0E7"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70 (4.9%)</w:t>
            </w:r>
          </w:p>
          <w:p w14:paraId="37897ECF"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30D2A138"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(3.8% – 6.0%)</w:t>
            </w:r>
          </w:p>
        </w:tc>
        <w:tc>
          <w:tcPr>
            <w:tcW w:w="1207" w:type="dxa"/>
          </w:tcPr>
          <w:p w14:paraId="1B7FA8E7"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33 (7.4%)</w:t>
            </w:r>
          </w:p>
          <w:p w14:paraId="0B7F6B4E"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32444A75"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(5.0% – 9.9%)</w:t>
            </w:r>
          </w:p>
        </w:tc>
        <w:tc>
          <w:tcPr>
            <w:tcW w:w="1207" w:type="dxa"/>
          </w:tcPr>
          <w:p w14:paraId="00E92A0C"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22 (4.2%)</w:t>
            </w:r>
          </w:p>
          <w:p w14:paraId="0BFEC30A"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78CFE59"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(2.5% – 5.9%)</w:t>
            </w:r>
          </w:p>
        </w:tc>
        <w:tc>
          <w:tcPr>
            <w:tcW w:w="1207" w:type="dxa"/>
          </w:tcPr>
          <w:p w14:paraId="070665A7"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10 (2.5%)</w:t>
            </w:r>
          </w:p>
          <w:p w14:paraId="1B767436"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A550C77"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(0.9% – 4.0%)</w:t>
            </w:r>
          </w:p>
        </w:tc>
        <w:tc>
          <w:tcPr>
            <w:tcW w:w="1207" w:type="dxa"/>
          </w:tcPr>
          <w:p w14:paraId="1BCC0AB3"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 (7.1%)</w:t>
            </w:r>
          </w:p>
          <w:p w14:paraId="7DC323DB"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243768E"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 – 22.6%)</w:t>
            </w:r>
          </w:p>
        </w:tc>
        <w:tc>
          <w:tcPr>
            <w:tcW w:w="1299" w:type="dxa"/>
          </w:tcPr>
          <w:p w14:paraId="3127F1F0"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 (10.3%)</w:t>
            </w:r>
          </w:p>
          <w:p w14:paraId="6479618C"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FA01E24"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(0.3% – 20.2%)</w:t>
            </w:r>
          </w:p>
        </w:tc>
        <w:tc>
          <w:tcPr>
            <w:tcW w:w="747" w:type="dxa"/>
          </w:tcPr>
          <w:p w14:paraId="5CB0FC3B"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23 (5.4%)</w:t>
            </w:r>
          </w:p>
          <w:p w14:paraId="0CC94345"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0266DC2"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(3.2% – 7.5%</w:t>
            </w:r>
            <w:r w:rsidRPr="00996810">
              <w:rPr>
                <w:rFonts w:ascii="Times New Roman" w:eastAsia="Times New Roman" w:hAnsi="Times New Roman"/>
                <w:sz w:val="24"/>
                <w:szCs w:val="24"/>
                <w:lang w:val="kk" w:eastAsia="en-GB"/>
              </w:rPr>
              <w:lastRenderedPageBreak/>
              <w:t>)</w:t>
            </w:r>
          </w:p>
        </w:tc>
      </w:tr>
      <w:tr w:rsidR="00F05490" w:rsidRPr="00996810" w14:paraId="0FA2E1FB" w14:textId="77777777" w:rsidTr="002E629E">
        <w:tc>
          <w:tcPr>
            <w:tcW w:w="1206" w:type="dxa"/>
          </w:tcPr>
          <w:p w14:paraId="1E852E31"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lastRenderedPageBreak/>
              <w:t>Ауыр қан кету (өлімге әкелетін және өлімге әкелмейтін)</w:t>
            </w:r>
          </w:p>
        </w:tc>
        <w:tc>
          <w:tcPr>
            <w:tcW w:w="1207" w:type="dxa"/>
          </w:tcPr>
          <w:p w14:paraId="7649CC5D"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111 (7.8%)</w:t>
            </w:r>
          </w:p>
          <w:p w14:paraId="0831FF5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11CF098"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(6.4% – 9.1%)</w:t>
            </w:r>
          </w:p>
        </w:tc>
        <w:tc>
          <w:tcPr>
            <w:tcW w:w="1207" w:type="dxa"/>
          </w:tcPr>
          <w:p w14:paraId="4E4697BD"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31 (7.0%)</w:t>
            </w:r>
          </w:p>
          <w:p w14:paraId="0538010F"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08D61C2"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(4.6% – 9.4%)</w:t>
            </w:r>
          </w:p>
        </w:tc>
        <w:tc>
          <w:tcPr>
            <w:tcW w:w="1207" w:type="dxa"/>
          </w:tcPr>
          <w:p w14:paraId="5AEC29FD"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52 (9.8%)</w:t>
            </w:r>
          </w:p>
          <w:p w14:paraId="3113B8EF"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CAA837C"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(7.3% – 12.4%)</w:t>
            </w:r>
          </w:p>
        </w:tc>
        <w:tc>
          <w:tcPr>
            <w:tcW w:w="1207" w:type="dxa"/>
          </w:tcPr>
          <w:p w14:paraId="14832403"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21 (5.2%)</w:t>
            </w:r>
          </w:p>
          <w:p w14:paraId="06093327"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9FC0B27"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(3.0% – 7.3%)</w:t>
            </w:r>
          </w:p>
        </w:tc>
        <w:tc>
          <w:tcPr>
            <w:tcW w:w="1207" w:type="dxa"/>
          </w:tcPr>
          <w:p w14:paraId="4544A28C"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 (7.1%)</w:t>
            </w:r>
          </w:p>
          <w:p w14:paraId="751CA45B"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6DA2C8B"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 – 22.6%)</w:t>
            </w:r>
          </w:p>
        </w:tc>
        <w:tc>
          <w:tcPr>
            <w:tcW w:w="1299" w:type="dxa"/>
          </w:tcPr>
          <w:p w14:paraId="5AEBC981"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 (15.4%)</w:t>
            </w:r>
          </w:p>
          <w:p w14:paraId="229E411E"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C34DAEA"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(3.5% – 27.2%)</w:t>
            </w:r>
          </w:p>
        </w:tc>
        <w:tc>
          <w:tcPr>
            <w:tcW w:w="747" w:type="dxa"/>
          </w:tcPr>
          <w:p w14:paraId="02BF13A2"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18 (4.2%)</w:t>
            </w:r>
          </w:p>
          <w:p w14:paraId="7760F268"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D4087B4"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(2.3% – 6.1%)</w:t>
            </w:r>
          </w:p>
        </w:tc>
      </w:tr>
      <w:tr w:rsidR="00F05490" w:rsidRPr="00996810" w14:paraId="00C55758" w14:textId="77777777" w:rsidTr="002E629E">
        <w:tc>
          <w:tcPr>
            <w:tcW w:w="1206" w:type="dxa"/>
          </w:tcPr>
          <w:p w14:paraId="76C408A3"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Клиникалық маңызы бар шағын қан кетулер</w:t>
            </w:r>
          </w:p>
        </w:tc>
        <w:tc>
          <w:tcPr>
            <w:tcW w:w="1207" w:type="dxa"/>
          </w:tcPr>
          <w:p w14:paraId="598C46BB"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87 (6.1%)</w:t>
            </w:r>
          </w:p>
          <w:p w14:paraId="758254F6"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4026A30"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(4.8% – 7.3%)</w:t>
            </w:r>
          </w:p>
        </w:tc>
        <w:tc>
          <w:tcPr>
            <w:tcW w:w="1207" w:type="dxa"/>
          </w:tcPr>
          <w:p w14:paraId="0BB080FE"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26 (5.9%)</w:t>
            </w:r>
          </w:p>
          <w:p w14:paraId="0D5143AD"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19E0E8E"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(3.7% – 8.0%)</w:t>
            </w:r>
          </w:p>
        </w:tc>
        <w:tc>
          <w:tcPr>
            <w:tcW w:w="1207" w:type="dxa"/>
          </w:tcPr>
          <w:p w14:paraId="27A114BC"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33 (6.2%)</w:t>
            </w:r>
          </w:p>
          <w:p w14:paraId="69A53E25"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34E1296"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(4.2% – 8.3%)</w:t>
            </w:r>
          </w:p>
        </w:tc>
        <w:tc>
          <w:tcPr>
            <w:tcW w:w="1207" w:type="dxa"/>
          </w:tcPr>
          <w:p w14:paraId="652BA6F5"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23 (5.7%)</w:t>
            </w:r>
          </w:p>
          <w:p w14:paraId="56B0F420"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(3.4% – 7.9%)</w:t>
            </w:r>
          </w:p>
          <w:p w14:paraId="5D92486A" w14:textId="77777777" w:rsidR="00317462" w:rsidRPr="00996810"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p>
        </w:tc>
        <w:tc>
          <w:tcPr>
            <w:tcW w:w="1207" w:type="dxa"/>
          </w:tcPr>
          <w:p w14:paraId="4FF0EDB6"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 (7.1%)</w:t>
            </w:r>
          </w:p>
          <w:p w14:paraId="68DC4BD6"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6564015"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 – 22.6%)</w:t>
            </w:r>
          </w:p>
        </w:tc>
        <w:tc>
          <w:tcPr>
            <w:tcW w:w="1299" w:type="dxa"/>
          </w:tcPr>
          <w:p w14:paraId="15E562B0"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 (10.3%)</w:t>
            </w:r>
          </w:p>
          <w:p w14:paraId="1C07B37C"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E7D62B4"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(0.3% – 20.2%)</w:t>
            </w:r>
          </w:p>
        </w:tc>
        <w:tc>
          <w:tcPr>
            <w:tcW w:w="747" w:type="dxa"/>
          </w:tcPr>
          <w:p w14:paraId="5B40783E"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24 (5.6%)</w:t>
            </w:r>
          </w:p>
          <w:p w14:paraId="5351CF3E"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4886CDF"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(3.4% – 7.8%)</w:t>
            </w:r>
          </w:p>
        </w:tc>
      </w:tr>
      <w:tr w:rsidR="00F05490" w:rsidRPr="00996810" w14:paraId="29A75990" w14:textId="77777777" w:rsidTr="002E629E">
        <w:tc>
          <w:tcPr>
            <w:tcW w:w="1206" w:type="dxa"/>
          </w:tcPr>
          <w:p w14:paraId="2DB48484"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Барлық себептерден болатын өлім</w:t>
            </w:r>
          </w:p>
        </w:tc>
        <w:tc>
          <w:tcPr>
            <w:tcW w:w="1207" w:type="dxa"/>
          </w:tcPr>
          <w:p w14:paraId="014C829E"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666 (46.5%)</w:t>
            </w:r>
          </w:p>
          <w:p w14:paraId="6F3B8B06"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A516066"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(43.9% – 49.1%)</w:t>
            </w:r>
          </w:p>
        </w:tc>
        <w:tc>
          <w:tcPr>
            <w:tcW w:w="1207" w:type="dxa"/>
          </w:tcPr>
          <w:p w14:paraId="7EEC165F"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175 (39.4%)</w:t>
            </w:r>
          </w:p>
          <w:p w14:paraId="42233B3D"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CA46F65"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(34.9% – 44.0%)</w:t>
            </w:r>
          </w:p>
        </w:tc>
        <w:tc>
          <w:tcPr>
            <w:tcW w:w="1207" w:type="dxa"/>
          </w:tcPr>
          <w:p w14:paraId="2B526689"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323 (61.1%)</w:t>
            </w:r>
          </w:p>
          <w:p w14:paraId="13345E61"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B156316"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(56.9% – 65.2%)</w:t>
            </w:r>
          </w:p>
        </w:tc>
        <w:tc>
          <w:tcPr>
            <w:tcW w:w="1207" w:type="dxa"/>
          </w:tcPr>
          <w:p w14:paraId="5E873781"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146 (36.0%)</w:t>
            </w:r>
          </w:p>
          <w:p w14:paraId="04693B0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409B230"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(31.3% – 40.6%)</w:t>
            </w:r>
          </w:p>
        </w:tc>
        <w:tc>
          <w:tcPr>
            <w:tcW w:w="1207" w:type="dxa"/>
          </w:tcPr>
          <w:p w14:paraId="1305BBF3"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 (42.9%)</w:t>
            </w:r>
          </w:p>
          <w:p w14:paraId="5E080AF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5991CE3"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(13.2% – 72.5%)</w:t>
            </w:r>
          </w:p>
        </w:tc>
        <w:tc>
          <w:tcPr>
            <w:tcW w:w="1299" w:type="dxa"/>
          </w:tcPr>
          <w:p w14:paraId="0DF62009"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16 (41.0%)</w:t>
            </w:r>
          </w:p>
          <w:p w14:paraId="3637BE9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3970E48"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(24.9% – 57.2%)</w:t>
            </w:r>
          </w:p>
        </w:tc>
        <w:tc>
          <w:tcPr>
            <w:tcW w:w="747" w:type="dxa"/>
          </w:tcPr>
          <w:p w14:paraId="250BA3D2"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157 (36.7%)</w:t>
            </w:r>
          </w:p>
          <w:p w14:paraId="4A986397"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3316974"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(32.1% – 41.3%)</w:t>
            </w:r>
          </w:p>
        </w:tc>
      </w:tr>
      <w:tr w:rsidR="00F05490" w:rsidRPr="00996810" w14:paraId="2B8C6CEC" w14:textId="77777777" w:rsidTr="002E629E">
        <w:tc>
          <w:tcPr>
            <w:tcW w:w="1206" w:type="dxa"/>
          </w:tcPr>
          <w:p w14:paraId="1423BBA9"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Өлімге әкелетін ӨАТЭ немесе өлімге әкелетін қан кетуден болатын өлім</w:t>
            </w:r>
          </w:p>
        </w:tc>
        <w:tc>
          <w:tcPr>
            <w:tcW w:w="1207" w:type="dxa"/>
          </w:tcPr>
          <w:p w14:paraId="39E30DC6"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48 (3.4%)</w:t>
            </w:r>
          </w:p>
          <w:p w14:paraId="5694346D"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EAC2F17"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(2.4% – 4.3%)</w:t>
            </w:r>
          </w:p>
        </w:tc>
        <w:tc>
          <w:tcPr>
            <w:tcW w:w="1207" w:type="dxa"/>
          </w:tcPr>
          <w:p w14:paraId="7E9731A2"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 (1.6%)</w:t>
            </w:r>
          </w:p>
          <w:p w14:paraId="09582178"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508B7C3"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(0.4% – 2.7%)</w:t>
            </w:r>
          </w:p>
        </w:tc>
        <w:tc>
          <w:tcPr>
            <w:tcW w:w="1207" w:type="dxa"/>
          </w:tcPr>
          <w:p w14:paraId="0A7E6C0A"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35 (6.6%)</w:t>
            </w:r>
          </w:p>
          <w:p w14:paraId="2F0377F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331D8796"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(4.5% – 8.7%)</w:t>
            </w:r>
          </w:p>
        </w:tc>
        <w:tc>
          <w:tcPr>
            <w:tcW w:w="1207" w:type="dxa"/>
          </w:tcPr>
          <w:p w14:paraId="0EE744F6"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5 (1.2%)</w:t>
            </w:r>
          </w:p>
          <w:p w14:paraId="594D3F12"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3798E1A"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(0.2% – 2.3%)</w:t>
            </w:r>
          </w:p>
        </w:tc>
        <w:tc>
          <w:tcPr>
            <w:tcW w:w="1207" w:type="dxa"/>
          </w:tcPr>
          <w:p w14:paraId="694D38E2"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 (0%)</w:t>
            </w:r>
          </w:p>
          <w:p w14:paraId="528C343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7BBA3A0"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w:t>
            </w:r>
          </w:p>
        </w:tc>
        <w:tc>
          <w:tcPr>
            <w:tcW w:w="1299" w:type="dxa"/>
          </w:tcPr>
          <w:p w14:paraId="2481312E"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 (2.6%)</w:t>
            </w:r>
          </w:p>
          <w:p w14:paraId="0B487573"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5CE780B"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 – 7.8%)</w:t>
            </w:r>
          </w:p>
        </w:tc>
        <w:tc>
          <w:tcPr>
            <w:tcW w:w="747" w:type="dxa"/>
          </w:tcPr>
          <w:p w14:paraId="0CE031D7"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11 (2.6%)</w:t>
            </w:r>
          </w:p>
          <w:p w14:paraId="0FE4B1B1"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38189B3"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(1.1% – 4.1%)</w:t>
            </w:r>
          </w:p>
        </w:tc>
      </w:tr>
    </w:tbl>
    <w:p w14:paraId="453B6BDB" w14:textId="77777777" w:rsidR="00EA0157" w:rsidRPr="00996810" w:rsidRDefault="002541C1" w:rsidP="005D790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96810">
        <w:rPr>
          <w:rFonts w:ascii="Times New Roman" w:eastAsia="Times New Roman" w:hAnsi="Times New Roman" w:cs="Times New Roman"/>
          <w:sz w:val="24"/>
          <w:szCs w:val="24"/>
          <w:lang w:val="kk" w:eastAsia="en-GB"/>
        </w:rPr>
        <w:t>*Барлық деректер 95% сенімділік аралығымен.</w:t>
      </w:r>
    </w:p>
    <w:p w14:paraId="13A58D66" w14:textId="77777777" w:rsidR="000559DC" w:rsidRPr="00996810" w:rsidRDefault="002541C1" w:rsidP="000559DC">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996810">
        <w:rPr>
          <w:rFonts w:ascii="Times New Roman" w:eastAsia="Times New Roman" w:hAnsi="Times New Roman" w:cs="Times New Roman"/>
          <w:i/>
          <w:iCs/>
          <w:sz w:val="24"/>
          <w:szCs w:val="24"/>
          <w:lang w:val="kk" w:eastAsia="en-GB"/>
        </w:rPr>
        <w:t xml:space="preserve">Тұрақсыз стенокардияны және ST сегментінің көтерілуінсіз миокард инфарктісін емдеу </w:t>
      </w:r>
    </w:p>
    <w:p w14:paraId="512E378E" w14:textId="77777777" w:rsidR="000559DC" w:rsidRPr="00996810" w:rsidRDefault="002541C1" w:rsidP="000559DC">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Ірі көп орталықты зерттеуде тұрақсыз стенокардияның немесе Q тісшесінсіз миокард инфарктісінің жедел фазасы бар 3171 пациент ацетилсалицил қышқылымен (күніне бір рет 100-325 мг) немесе тері астына, не вена ішіне ІБТУ негізінде түзетілген фракцияланбаған гепаринмен біріктірілген әр 12 сағат сайын 100 ХБ/кг (1 мг/кг) натрий эноксапаринін алу үшін рандомизацияланды. Пациенттер клиникалық жағдай тұрақтанғанға, реваскуляризация емшаралары немесе ауруханадан шығарылғанға дейін кем дегенде 2 күн және 8 күннен көп емес ауруханада емделуі керек еді. Пациенттер 30 күнге дейін бақылауда болуы керек. Гепаринмен салыстырғанда натрий эноксапарині 14-күні стенокардия, миокард инфарктісі және өлімнің біріктірілген жиілігін айтарлықтай төмендетті, 19,8-ден 16,6% - ға дейін төмендеді (қауіптің салыстырмалы төмендеуі 16,2%). Бұл біріктірілген жиіліктің төмендеуі 30 күннен кейін де сақталды (23,3-тен 19,8% - ға дейін; қауіптің салыстырмалы түрде 15% - ға төмендеуі).</w:t>
      </w:r>
    </w:p>
    <w:p w14:paraId="75161095" w14:textId="77777777" w:rsidR="002E629E" w:rsidRPr="00996810" w:rsidRDefault="002541C1" w:rsidP="000559DC">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Көлемді қан кетуде айтарлықтай айырмашылықтар анықталған жоқ, бірақ тері астына инъекция орнында қан кету жиі байқалды.</w:t>
      </w:r>
    </w:p>
    <w:p w14:paraId="6A8727B3" w14:textId="77777777" w:rsidR="00586259" w:rsidRPr="00996810" w:rsidRDefault="002541C1" w:rsidP="00586259">
      <w:pPr>
        <w:autoSpaceDE w:val="0"/>
        <w:autoSpaceDN w:val="0"/>
        <w:adjustRightInd w:val="0"/>
        <w:spacing w:after="0" w:line="240" w:lineRule="auto"/>
        <w:jc w:val="both"/>
        <w:rPr>
          <w:rFonts w:ascii="Times New Roman" w:eastAsia="Times New Roman" w:hAnsi="Times New Roman" w:cs="Times New Roman"/>
          <w:i/>
          <w:iCs/>
          <w:sz w:val="24"/>
          <w:szCs w:val="24"/>
          <w:lang w:val="kk" w:eastAsia="en-GB"/>
        </w:rPr>
      </w:pPr>
      <w:r w:rsidRPr="00996810">
        <w:rPr>
          <w:rFonts w:ascii="Times New Roman" w:eastAsia="Times New Roman" w:hAnsi="Times New Roman" w:cs="Times New Roman"/>
          <w:i/>
          <w:iCs/>
          <w:sz w:val="24"/>
          <w:szCs w:val="24"/>
          <w:lang w:val="kk" w:eastAsia="en-GB"/>
        </w:rPr>
        <w:lastRenderedPageBreak/>
        <w:t>ST сегментінің көтерілуімен жедел миокард инфарктісін емдеу</w:t>
      </w:r>
    </w:p>
    <w:p w14:paraId="5E0AFCBB" w14:textId="77777777" w:rsidR="00586259" w:rsidRPr="00996810" w:rsidRDefault="002541C1" w:rsidP="00586259">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Ірі көп орталықты зерттеуде фибринолитик ем көрсетілген ST сегменті көтерілген жедел миокард инфарктісі бар 20 479 пациент натрий эноксапаринін вена ішіне 3000 ХБ (30 мг) плюс 100 ХБ/кг (1 мг/кг) тері астына бір реттік болюс, содан кейін әр 12 сағат сайын  100 ХБ/кг (1 мг/кг) тері астына инъекция   түрінде немесе 48 сағат ішінде ІБТУ негізінде түзетілген вена ішіне фракцияланбаған гепаринді алу үшін рандомизацияланды. Барлық пациенттер ацетилсалицил қышқылын кем дегенде 30 күн бойы қабылдады. Эноксапарин натрийін дозалау стратегиясы бүйрек функциясының ауыр жеткіліксіздігі бар пациенттер үшін және 75 жастан асқан егде жастағы адамдар үшін түзетілді. Эноксапарин натрийінің тері астына инъекциясы ауруханадан шыққанға дейін немесе ең көп дегенде сегіз күн бойы жүргізілді (қайсысы ерте болатынына байланысты).</w:t>
      </w:r>
    </w:p>
    <w:p w14:paraId="668E71B1" w14:textId="77777777" w:rsidR="00586259" w:rsidRPr="00996810" w:rsidRDefault="002541C1" w:rsidP="00586259">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4716 пациент жасырын зерттелетін препараттың көмегімен тромбозға қарсы қолдау ала отырып, тері арқылы коронарлық араласудан өтті. Осылайша, натрий эноксапаринін қабылдайтын пациенттер үшін ТАА алдыңғы зерттеулерде белгіленген режимді қолдана отырып, натрий эноксапариніне (ауысусыз) жүргізілуі керек еді, яғни қосымша дозалаусыз, егер соңғы тері астына енгізу баллонды үрлеуге 8 сағаттан аз уақыт қалғанда жүргізілсе, 30 ХБ / кг (0,3 мг/ кг) натрий эноксапаринінің  венаішілік болюсі, егер соңғы тері астына енгізу баллонды үрлеуден 8 сағаттан астам уақыт бұрын жүргізілсе.</w:t>
      </w:r>
    </w:p>
    <w:p w14:paraId="01AC7264" w14:textId="77777777" w:rsidR="00586259" w:rsidRPr="00996810" w:rsidRDefault="002541C1" w:rsidP="00586259">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Фракцияланбаған гепаринмен салыстырғанда натрий эноксапарині рандомизациядан кейінгі алғашқы 30 күн ішінде кез келген себептен немесе қайталанатын миокард инфарктісінен болатын өлімнің құрамдас бөлігі болып табылатын бастапқы соңғы нүктенің жиілігін айтарлықтай төмендетті [фракцияланбаған гепарин тобындағы 12,0 пайызбен салыстырғанда натрий эноксапарині тобындағы 9,9 пайыз] салыстырмалы қауіптің 17 пайыздық төмендеуімен( p &lt; 0,001).</w:t>
      </w:r>
    </w:p>
    <w:p w14:paraId="4FAD06B2" w14:textId="77777777" w:rsidR="00586259" w:rsidRPr="00996810" w:rsidRDefault="002541C1" w:rsidP="00586259">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Натрий эноксапаринімен емдеудің бірқатар тиімділік көрсеткіштерінен көрінетін артықшылықтары фракцияланбаған гепаринмен (p &lt; 0,001) емдеумен салыстырғанда қайталанған миокард инфарктісінің салыстырмалы қаупінің 35 пайыздық төмендеуі байқалған кезде, 48 сағаттан кейін пайда болды.</w:t>
      </w:r>
    </w:p>
    <w:p w14:paraId="3BE6C67D"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Натрий эноксапаринінің бастапқы соңғы нүктеге жағымды әсері барлық негізгі қосалқы топтарда, соның ішінде жас, жыныс, инфаркттың орналасуын, диабет тарихын, алдыңғы миокард инфарктісінің тарихын, тағайындалған фибринолитик түрін және зерттелетін препаратпен емдеуді бастау уақытын қоса, тұрақты болды.</w:t>
      </w:r>
    </w:p>
    <w:p w14:paraId="1F598281"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Рандомизациядан кейін 30 күн ішінде тері арқылы коронарлық араласудан өткен (салыстырмалы қауіптің 23 пайызға төмендеуі) немесе дәрі-дәрмекпен емделген (салыстырмалы қауіптің 15 пайызға төмендеуі, өзара әрекеттесу үшін p=0,27) пациенттерде фракцияланбаған гепаринмен салыстырғанда натрий эноксапаринімен емдеудің айтарлықтай артықшылығы атап өтілді.</w:t>
      </w:r>
    </w:p>
    <w:p w14:paraId="47F04137"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Өлімнің, қайталанатын миокард инфарктісінің немесе бассүйекішілік қан кетудің (таза клиникалық пайда өлшемі) 30 күндік құрамдас соңғы нүктесінің жиілігі гепарин тобымен (12,2%) салыстырғанда натрий эноксапарині тобында (10,1%) айтарлықтай төмен болды (p &lt; 0,0001), бұл натрий эноксапаринімен емдеудің пайдасына салыстырмалы қауіптің 17% төмендеуін білдіреді.</w:t>
      </w:r>
    </w:p>
    <w:p w14:paraId="6702B737"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30 күн ішінде үлкен қан кету жиілігі гепарин тобымен (1,4%) салыстырғанда натрий эноксапарині тобында (2,1%) айтарлықтай жоғары болды (p &lt; 0,0001). Натрий эноксапарині тобында гепарин тобымен (0,1%) салыстырғанда асқазан-ішектен қан кетудің жоғары жиілігі (0,5%) байқалды, ал бассүйекішілік қан кету жиілігі екі топта да бірдей болды (гепаринмен 0,7% салыстырғанда натрий эноксапаринімен 0,8%).</w:t>
      </w:r>
    </w:p>
    <w:p w14:paraId="6E3BA9D2" w14:textId="77777777" w:rsidR="00586259"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Алғашқы 30 күнде байқалған натрий эноксапаринінің бастапқы соңғы нүктесіне оң әсері 12 айлық бақылау кезеңінде сақталды.</w:t>
      </w:r>
    </w:p>
    <w:p w14:paraId="01EECC43"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i/>
          <w:iCs/>
          <w:sz w:val="24"/>
          <w:szCs w:val="24"/>
          <w:lang w:val="kk" w:eastAsia="en-GB"/>
        </w:rPr>
      </w:pPr>
      <w:r w:rsidRPr="00996810">
        <w:rPr>
          <w:rFonts w:ascii="Times New Roman" w:eastAsia="Times New Roman" w:hAnsi="Times New Roman" w:cs="Times New Roman"/>
          <w:i/>
          <w:iCs/>
          <w:sz w:val="24"/>
          <w:szCs w:val="24"/>
          <w:lang w:val="kk" w:eastAsia="en-GB"/>
        </w:rPr>
        <w:t>Бауыр функциясының жеткіліксіздігі</w:t>
      </w:r>
    </w:p>
    <w:p w14:paraId="411EDA44" w14:textId="77777777" w:rsidR="000559DC"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lastRenderedPageBreak/>
        <w:t>Әдеби деректерге сүйене отырып, циррозы бар пациенттерде натрий эноксапаринін 4000 ХБ (40 мг) қолдану (Чайлд-Пью бойынша В-С класы) қақпа венасы тромбозының профилактикасы үшін қауіпсіз және тиімді. Айта кету керек, әдеби зерттеулерде шектеулер болуы мүмкін. Бауыр функциясының жеткіліксіздігі бар пациенттерге сақ болу керек, өйткені бұл пациенттерде қан кету қаупі жоғары (4.4-бөлімді қараңыз), ал циррозы бар пациенттерде (Чайлд-Пью бойынша А, В немесе С класы) дозаны анықтау бойынша ресми зерттеулер жүргізілмеген.</w:t>
      </w:r>
    </w:p>
    <w:p w14:paraId="57A837D3" w14:textId="77777777" w:rsidR="00277B34" w:rsidRPr="00996810"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p>
    <w:p w14:paraId="6B727151"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5.2. Фармакокинетикалық қасиеттері</w:t>
      </w:r>
    </w:p>
    <w:p w14:paraId="20721E33"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color w:val="000000"/>
          <w:sz w:val="24"/>
          <w:szCs w:val="24"/>
          <w:lang w:val="kk" w:eastAsia="ru-RU"/>
        </w:rPr>
        <w:t xml:space="preserve">Эноксапариннің фармакокинетикалық параметрлері препараттың тері астына бір реттік және қайталап енгізулерінен кейін және бір реттік вена ішілік инъекциясынан соң ұсынылған дозаларында (валидацияланған амидолитикалық әдістер) плазмадағы анти-Х және анти-ІІа белсенділігінің уақытша динамикасы негізінде бағаланды. </w:t>
      </w:r>
      <w:r w:rsidRPr="00996810">
        <w:rPr>
          <w:rFonts w:ascii="Times New Roman" w:eastAsia="Times New Roman" w:hAnsi="Times New Roman" w:cs="Times New Roman"/>
          <w:sz w:val="24"/>
          <w:szCs w:val="24"/>
          <w:lang w:val="kk" w:eastAsia="hu-HU"/>
        </w:rPr>
        <w:t>Анти-Xa және анти-IIa фармакокинетикалық белсенділігін сандық тұрғыда анықтау валидацияланған амидолитикалық әдістермен жүргізілді.</w:t>
      </w:r>
    </w:p>
    <w:p w14:paraId="54FD420C"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val="kk" w:eastAsia="ru-RU"/>
        </w:rPr>
      </w:pPr>
      <w:r w:rsidRPr="00996810">
        <w:rPr>
          <w:rFonts w:ascii="Times New Roman" w:eastAsia="Times New Roman" w:hAnsi="Times New Roman" w:cs="Times New Roman"/>
          <w:bCs/>
          <w:i/>
          <w:color w:val="000000"/>
          <w:sz w:val="24"/>
          <w:szCs w:val="24"/>
          <w:lang w:val="kk" w:eastAsia="ru-RU"/>
        </w:rPr>
        <w:t xml:space="preserve">Биожетімділігі </w:t>
      </w:r>
    </w:p>
    <w:p w14:paraId="12DBB70E" w14:textId="77777777" w:rsidR="004A1839" w:rsidRPr="00996810" w:rsidRDefault="002541C1" w:rsidP="004A1839">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trike/>
          <w:sz w:val="24"/>
          <w:szCs w:val="24"/>
          <w:lang w:val="kk" w:eastAsia="hu-HU"/>
        </w:rPr>
        <w:t>Тері астына енгізгеннен кейін эноксапарин жылдам және толық дерлік сіңеді (шамамен 100%).</w:t>
      </w:r>
      <w:r w:rsidRPr="00996810">
        <w:rPr>
          <w:rFonts w:ascii="Times New Roman" w:eastAsia="Times New Roman" w:hAnsi="Times New Roman" w:cs="Times New Roman"/>
          <w:sz w:val="24"/>
          <w:szCs w:val="24"/>
          <w:lang w:val="kk" w:eastAsia="hu-HU"/>
        </w:rPr>
        <w:t xml:space="preserve"> Анти-Ха белсенділігіне негізделген тері астына инъекциядан кейінгі натрий эноксапаринінің абсолютті биожетімділігі 100% - ға жақын. Анти-Ха белсенділіктің плазмадағы орташа ең жоғары деңгейі тері астына енгізгеннен кейін 3-5 сағаттан кейін байқалады және 2 000 ХБ, 4 000 ХБ, 100 ХБ /кг және 150 ХБ /кг (20 мг, 40 мг, 1 мг/кг және 1.5 мг/кг) дозаларды бір рет тері астына енгізгеннен кейін, сәйкесінше, шамамен 0.2, 0.4, 1.0 және 1.3 анти-Xa ХБ/мл жетеді.</w:t>
      </w:r>
    </w:p>
    <w:p w14:paraId="120A4EC2" w14:textId="77777777" w:rsidR="00277B34" w:rsidRPr="00996810" w:rsidRDefault="002541C1" w:rsidP="004A1839">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3000 ХБ (30 мг) болюсті вена ішіне енгізу, одан кейін әр 12 сағат сайын  100 ХБ/кг (1 мг/кг) тері астына енгізу анти-Ха белсенділігінің бастапқы ең жоғары деңгейін 1,16 ХБ/мл (n=16) және тұрақты жағдайдың деңгейіне 88% сәйкес келетін орташа экспозицияны қамтамасыз етті. Тұрақты жағдайға емдеудің екінші күні қол жеткізіледі.</w:t>
      </w:r>
    </w:p>
    <w:p w14:paraId="307C2492" w14:textId="77777777" w:rsidR="00277B34" w:rsidRPr="00996810" w:rsidRDefault="002541C1" w:rsidP="00277B34">
      <w:pPr>
        <w:tabs>
          <w:tab w:val="left" w:pos="567"/>
        </w:tabs>
        <w:spacing w:after="0" w:line="240" w:lineRule="auto"/>
        <w:jc w:val="both"/>
        <w:rPr>
          <w:rFonts w:ascii="Times New Roman" w:eastAsia="Times New Roman" w:hAnsi="Times New Roman" w:cs="Times New Roman"/>
          <w:iCs/>
          <w:sz w:val="24"/>
          <w:szCs w:val="24"/>
          <w:lang w:val="kk" w:eastAsia="hu-HU"/>
        </w:rPr>
      </w:pPr>
      <w:r w:rsidRPr="00996810">
        <w:rPr>
          <w:rFonts w:ascii="Times New Roman" w:eastAsia="Times New Roman" w:hAnsi="Times New Roman" w:cs="Times New Roman"/>
          <w:sz w:val="24"/>
          <w:szCs w:val="24"/>
          <w:lang w:val="kk" w:eastAsia="hu-HU"/>
        </w:rPr>
        <w:t xml:space="preserve">Натрий эноксапаринін 4 000 ХБ дозада (40 мг) тәулігіне 1 рет және </w:t>
      </w:r>
      <w:r w:rsidRPr="00996810">
        <w:rPr>
          <w:rFonts w:ascii="Times New Roman" w:eastAsia="Times New Roman" w:hAnsi="Times New Roman" w:cs="Times New Roman"/>
          <w:iCs/>
          <w:color w:val="000000"/>
          <w:sz w:val="24"/>
          <w:szCs w:val="24"/>
          <w:lang w:val="kk" w:eastAsia="ru-RU"/>
        </w:rPr>
        <w:t>150 ХБ/кг (1.5 мг/кг) дозада тәулігіне бір рет</w:t>
      </w:r>
      <w:r w:rsidRPr="00996810">
        <w:rPr>
          <w:rFonts w:ascii="Times New Roman" w:eastAsia="Times New Roman" w:hAnsi="Times New Roman" w:cs="Times New Roman"/>
          <w:sz w:val="24"/>
          <w:szCs w:val="24"/>
          <w:lang w:val="kk" w:eastAsia="hu-HU"/>
        </w:rPr>
        <w:t xml:space="preserve">  қайталап тері астына енгізгеннен кейін тепе-теңдік күйіне 2-күнге қарай жетеді, бұл кезде экспозиция коэффициенті бір рет енгізуден кейінгіге қарағанда орта есеппен 15%-ға жоғары.  </w:t>
      </w:r>
    </w:p>
    <w:p w14:paraId="2593C271"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Тәулігіне екі рет 100 ХБ/кг (1 мг/кг) қайталап тері астына енгізгеннен кейін тепе-теңдік күйіне 3-4 күннен кейін, бір рет енгізуден кейінгіге қарағанда шамамен 65%-ға жоғары экспозициямен жетеді, ал ең жоғарғы және ең төменгі концентрацияларының орташа мәндері, сәйкесінше, шамамен 1,2 және 0,52 ХБ/мл құрайды.  </w:t>
      </w:r>
    </w:p>
    <w:p w14:paraId="309734E1" w14:textId="77777777" w:rsidR="00277B34" w:rsidRPr="00996810" w:rsidRDefault="002541C1" w:rsidP="00277B34">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Енгізілген көлемі және дозаның 100-200 мг/мл диапазонынан жоғары концентрациясы фармакокинетикалық параметрлерге ықпалын тигізбейді.</w:t>
      </w:r>
    </w:p>
    <w:p w14:paraId="33D46EAF" w14:textId="77777777" w:rsidR="00897E4A" w:rsidRPr="00996810" w:rsidRDefault="002541C1" w:rsidP="00897E4A">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Натрий эноксапаринінің фармакокинетикасы көрсетілген дозалау режимдерінде дозаға тәуелді сипатқа ие.</w:t>
      </w:r>
    </w:p>
    <w:p w14:paraId="77A70C55" w14:textId="77777777" w:rsidR="00897E4A" w:rsidRPr="00996810" w:rsidRDefault="002541C1" w:rsidP="00897E4A">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Пациенттер топтарының ішіндегі және топтар арасындағы ауытқымалылық төмен. Қайталап тері астына енгізулерден кейін препарат жинақталмайды. </w:t>
      </w:r>
    </w:p>
    <w:p w14:paraId="5E911422" w14:textId="77777777" w:rsidR="00277B34" w:rsidRPr="00996810" w:rsidRDefault="002541C1" w:rsidP="00EC2632">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Тері астына енгізгеннен кейін қан плазмасындағы анти-IІa белсенділігі шамамен анти-Xа белсенділігінен 10 есе төмен. Анти-IIа белсенділігінің орташа ең жоғары деңгейі тері астына енгізгеннен кейін шамамен 3-4 сағаттан соң байқалады және тәулігіне екі рет 100 ХБ/кг (1 мг/кг) және тәулігіне бір рет 150 ХБ/кг (1.5 мг/кг) дозасын қайталап енгізгенде, сәйкесінше 0,13 ХБ/мл-ге және 0.19 ХБ/мл-ге жетеді.  </w:t>
      </w:r>
    </w:p>
    <w:p w14:paraId="7EBE54E8"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val="kk" w:eastAsia="ru-RU"/>
        </w:rPr>
      </w:pPr>
      <w:r w:rsidRPr="00996810">
        <w:rPr>
          <w:rFonts w:ascii="Times New Roman" w:eastAsia="Times New Roman" w:hAnsi="Times New Roman" w:cs="Times New Roman"/>
          <w:bCs/>
          <w:i/>
          <w:color w:val="000000"/>
          <w:sz w:val="24"/>
          <w:szCs w:val="24"/>
          <w:lang w:val="kk" w:eastAsia="ru-RU"/>
        </w:rPr>
        <w:t xml:space="preserve">Таралуы </w:t>
      </w:r>
    </w:p>
    <w:p w14:paraId="66CC5272"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Натрий эноксапарині анти-Ха белсенділігінің таралу көлемі шамамен 4,3 литр құрайды және қан көлеміне жуықтайды. </w:t>
      </w:r>
    </w:p>
    <w:p w14:paraId="4783DD85"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val="kk" w:eastAsia="ru-RU"/>
        </w:rPr>
      </w:pPr>
      <w:r w:rsidRPr="00996810">
        <w:rPr>
          <w:rFonts w:ascii="Times New Roman" w:eastAsia="Times New Roman" w:hAnsi="Times New Roman" w:cs="Times New Roman"/>
          <w:bCs/>
          <w:i/>
          <w:color w:val="000000"/>
          <w:sz w:val="24"/>
          <w:szCs w:val="24"/>
          <w:lang w:val="kk" w:eastAsia="ru-RU"/>
        </w:rPr>
        <w:t xml:space="preserve">Метаболизмі </w:t>
      </w:r>
    </w:p>
    <w:p w14:paraId="28D605B1"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lastRenderedPageBreak/>
        <w:t xml:space="preserve">Натрий эноксапарині, көбінесе, бауырда метаболизденеді (биологиялық белсенділігі өте төмен, төмен молекулалы заттарды түзе отырып сульфатсыздану және/немесе деполимеризациялану). </w:t>
      </w:r>
    </w:p>
    <w:p w14:paraId="35A530FE"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bCs/>
          <w:i/>
          <w:color w:val="000000"/>
          <w:sz w:val="24"/>
          <w:szCs w:val="24"/>
          <w:lang w:eastAsia="ru-RU"/>
        </w:rPr>
      </w:pPr>
      <w:r w:rsidRPr="00996810">
        <w:rPr>
          <w:rFonts w:ascii="Times New Roman" w:eastAsia="Times New Roman" w:hAnsi="Times New Roman" w:cs="Times New Roman"/>
          <w:bCs/>
          <w:i/>
          <w:color w:val="000000"/>
          <w:sz w:val="24"/>
          <w:szCs w:val="24"/>
          <w:lang w:val="kk" w:eastAsia="ru-RU"/>
        </w:rPr>
        <w:t xml:space="preserve">Шығарылуы </w:t>
      </w:r>
    </w:p>
    <w:p w14:paraId="1D554403" w14:textId="77777777" w:rsidR="004A1839" w:rsidRPr="00996810" w:rsidRDefault="002541C1" w:rsidP="004A1839">
      <w:pPr>
        <w:keepNext/>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Натрий эноксапарині клиренсі төмен препарат болып табылады. 150 ХБ /кг (1.5 мг/кг) дозада вена ішіне енгізгеннен кейін 6 сағаттың ішінде плазмадағы анти-Ха клиренсінің мәні 0,74 л/сағ құрайды. </w:t>
      </w:r>
    </w:p>
    <w:p w14:paraId="6B1EE25B"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Эноксапарин үшін бір реттік теріастылық дозадан кейін 5 сағатқа жуық</w:t>
      </w:r>
      <w:r w:rsidR="00E26020" w:rsidRPr="00996810">
        <w:rPr>
          <w:rFonts w:ascii="Times New Roman" w:eastAsia="Times New Roman" w:hAnsi="Times New Roman" w:cs="Times New Roman"/>
          <w:color w:val="000000"/>
          <w:sz w:val="24"/>
          <w:szCs w:val="24"/>
          <w:lang w:val="kk" w:eastAsia="ru-RU"/>
        </w:rPr>
        <w:t xml:space="preserve">  және  қайталанған дозадан кейін 7 сағатқа жуық жартылай шығарылу кезеңімен монофазалы шығарылу сипаты тән. Анти-Ха белсенділігі бар фрагменттердің бүйректік клиренсі енгізілген дозасының 10%-ына жуығын, ал белсенді </w:t>
      </w:r>
      <w:r w:rsidRPr="00996810">
        <w:rPr>
          <w:rFonts w:ascii="Times New Roman" w:eastAsia="Times New Roman" w:hAnsi="Times New Roman" w:cs="Times New Roman"/>
          <w:color w:val="000000"/>
          <w:sz w:val="24"/>
          <w:szCs w:val="24"/>
          <w:lang w:val="kk" w:eastAsia="ru-RU"/>
        </w:rPr>
        <w:t>және белсенді емес компоненттерінің жалпы бүйректік экскрециясы енгізілген дозасының 40%-ын құрайды.</w:t>
      </w:r>
    </w:p>
    <w:p w14:paraId="1ADEB0E6"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val="kk" w:eastAsia="ru-RU"/>
        </w:rPr>
      </w:pPr>
      <w:r w:rsidRPr="00996810">
        <w:rPr>
          <w:rFonts w:ascii="Times New Roman" w:eastAsia="Times New Roman" w:hAnsi="Times New Roman" w:cs="Times New Roman"/>
          <w:bCs/>
          <w:i/>
          <w:color w:val="000000"/>
          <w:sz w:val="24"/>
          <w:szCs w:val="24"/>
          <w:lang w:val="kk" w:eastAsia="ru-RU"/>
        </w:rPr>
        <w:t>Пациенттердің ерекше топтары</w:t>
      </w:r>
    </w:p>
    <w:p w14:paraId="6C353A7F"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i/>
          <w:color w:val="000000"/>
          <w:sz w:val="24"/>
          <w:szCs w:val="24"/>
          <w:lang w:val="kk" w:eastAsia="ru-RU"/>
        </w:rPr>
        <w:t xml:space="preserve">Егде жастағы пациенттер </w:t>
      </w:r>
    </w:p>
    <w:p w14:paraId="51121D43" w14:textId="77777777" w:rsidR="004A1839" w:rsidRPr="00996810" w:rsidRDefault="002541C1" w:rsidP="004A1839">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Натрий эноксапаринінің кинетикалық бейіні егде жастағы пациенттерде бүйректің қалыпты функциясы сақталған жағдайда жасырақ пациенттердегі фармакокинетикасынан өзгешеленбейді.</w:t>
      </w:r>
    </w:p>
    <w:p w14:paraId="3EF96862"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 xml:space="preserve">Бүйрек функциясы жас ұлғайған сайын нашарлайтыны белгілі болғандықтан, егде жастағы пациенттерде натрий эноксапаринінің шығарылуы төмендеуі мүмкін (4.2 және 4.4- бөлімді қараңыз). </w:t>
      </w:r>
    </w:p>
    <w:p w14:paraId="012657AA"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i/>
          <w:sz w:val="24"/>
          <w:szCs w:val="24"/>
          <w:lang w:val="kk" w:eastAsia="hu-HU"/>
        </w:rPr>
      </w:pPr>
      <w:r w:rsidRPr="00996810">
        <w:rPr>
          <w:rFonts w:ascii="Times New Roman" w:eastAsia="Times New Roman" w:hAnsi="Times New Roman" w:cs="Times New Roman"/>
          <w:i/>
          <w:sz w:val="24"/>
          <w:szCs w:val="24"/>
          <w:lang w:val="kk" w:eastAsia="hu-HU"/>
        </w:rPr>
        <w:t>Бауыр функциясының бұзылуы</w:t>
      </w:r>
    </w:p>
    <w:p w14:paraId="36FDC2FD"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Асқынған циррозы бар, тәулігіне бір рет 4 000 ХБ (40 мг) натрий эноксапаринімен ем алған пациенттерде ең жоғарғы анти-Ха белсенділіктің төмендеуі бауыр функциясы бұзылуының ауырлығы (Чайлд-Пью жіктемесі бойынша бағалау) артуымен байланысты болды. Бұл төмендеу бауыр функциясы бұзылған пациенттерде негізінен ATIII синтезінің төмендеуі салдарынан ATIII деңгейінің төмендеуінен туындады.</w:t>
      </w:r>
    </w:p>
    <w:p w14:paraId="402E4086"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i/>
          <w:color w:val="000000"/>
          <w:sz w:val="24"/>
          <w:szCs w:val="24"/>
          <w:lang w:val="kk" w:eastAsia="ru-RU"/>
        </w:rPr>
        <w:t xml:space="preserve">Бүйрек функциясының жеткіліксіздігі </w:t>
      </w:r>
    </w:p>
    <w:p w14:paraId="496E271A"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Бүйрек функциясы төмендеген пациенттерде плазмадағы анти-Ха клиренсі мен креатинин клиренсінің арасында тепе-теңдік күйде натрий эноксапарині клиренсінің төмендеуін көрсететін дозаға тәуелділік байқалды. Бүйрек функциясының жеңіл (креатинин клиренсі 50-80 мл/мин) және орташа (креатинин клиренсі 30-50 мл/мин) бұзылуында фармакокинетикалық қисық астындағы аудан ұсынған анти-Xa белсенділік, тәулігіне бір рет 4 000 ХБ (40 мг) қайталанған теріастылық дозалардан кейін тепе-теңдік күйінде елеусіз ұлғайды. Бүйрек функциясының ауыр бұзылуы бар пациенттерде (креатинин  клиренсі &lt;30 мл/мин) фармакокинетикалық қисық астындағы ауданы тәулігіне бір рет 4 000 ХБ (40 мг) қайталанған теріастылық дозалардан кейін тепе-теңдік күйінде елеулі түрде орта есеппен 65%-ға ұлғайды (4.2 және 4.4-бөлімді қараңыз).</w:t>
      </w:r>
    </w:p>
    <w:p w14:paraId="21DEE2CB" w14:textId="77777777" w:rsidR="00EF0FBB" w:rsidRPr="00996810" w:rsidRDefault="002541C1" w:rsidP="00EF0FBB">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Гемодиализ</w:t>
      </w:r>
    </w:p>
    <w:p w14:paraId="7EAF511F" w14:textId="77777777" w:rsidR="004A1839" w:rsidRPr="00996810" w:rsidRDefault="002541C1" w:rsidP="00EF0FBB">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i/>
          <w:color w:val="000000"/>
          <w:sz w:val="24"/>
          <w:szCs w:val="24"/>
          <w:lang w:val="kk" w:eastAsia="ru-RU"/>
        </w:rPr>
        <w:t xml:space="preserve">Гемодиализдегі пациенттер </w:t>
      </w:r>
    </w:p>
    <w:p w14:paraId="26C80820" w14:textId="77777777" w:rsidR="004A1839" w:rsidRPr="00996810" w:rsidRDefault="002541C1" w:rsidP="004A1839">
      <w:pPr>
        <w:tabs>
          <w:tab w:val="left" w:pos="567"/>
          <w:tab w:val="left" w:pos="8222"/>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 xml:space="preserve">Натрий эноксапаринінің фармакокинетикасы бір реттік 25 ХБ, 50 ХБ немесе 100 ХБ/кг (0.25, 0.50 немесе 1.0 мг/кг) венаішілік дозадан кейін бақылау тобындағы фармакокинетикасына сәйкес, алайда фармакокинетикалық қисық астындағы ауданы бақылау тобындағыға қарағанда екі есе жоғары болды.  </w:t>
      </w:r>
    </w:p>
    <w:p w14:paraId="62EC82D3" w14:textId="77777777" w:rsidR="00EF0FBB" w:rsidRPr="00996810" w:rsidRDefault="002541C1" w:rsidP="00EF0FBB">
      <w:pPr>
        <w:spacing w:after="0" w:line="240" w:lineRule="auto"/>
        <w:jc w:val="both"/>
        <w:rPr>
          <w:rFonts w:ascii="Times New Roman" w:eastAsia="Calibri" w:hAnsi="Times New Roman" w:cs="Times New Roman"/>
          <w:i/>
          <w:iCs/>
          <w:sz w:val="24"/>
          <w:szCs w:val="24"/>
          <w:lang w:val="kk" w:bidi="ar-IQ"/>
        </w:rPr>
      </w:pPr>
      <w:r w:rsidRPr="00996810">
        <w:rPr>
          <w:rFonts w:ascii="Times New Roman" w:eastAsia="Calibri" w:hAnsi="Times New Roman" w:cs="Times New Roman"/>
          <w:i/>
          <w:iCs/>
          <w:sz w:val="24"/>
          <w:szCs w:val="24"/>
          <w:lang w:val="kk" w:bidi="ar-IQ"/>
        </w:rPr>
        <w:t>Салмағы</w:t>
      </w:r>
    </w:p>
    <w:p w14:paraId="2663B245" w14:textId="77777777" w:rsidR="00EF0FBB" w:rsidRPr="00996810" w:rsidRDefault="002541C1" w:rsidP="00EF0FBB">
      <w:pPr>
        <w:spacing w:after="0" w:line="240" w:lineRule="auto"/>
        <w:jc w:val="both"/>
        <w:rPr>
          <w:rFonts w:ascii="Times New Roman" w:eastAsia="Calibri" w:hAnsi="Times New Roman" w:cs="Times New Roman"/>
          <w:sz w:val="24"/>
          <w:szCs w:val="24"/>
          <w:lang w:val="kk" w:bidi="ar-IQ"/>
        </w:rPr>
      </w:pPr>
      <w:r w:rsidRPr="00996810">
        <w:rPr>
          <w:rFonts w:ascii="Times New Roman" w:eastAsia="Calibri" w:hAnsi="Times New Roman" w:cs="Times New Roman"/>
          <w:sz w:val="24"/>
          <w:szCs w:val="24"/>
          <w:lang w:val="kk" w:bidi="ar-IQ"/>
        </w:rPr>
        <w:t>Күніне бір рет 150 ХБ/кг (1,5 мг/кг) тері астына қайта енгізгеннен кейін, семіздікке шалдыққан дені сау еріктілерде (ДСИ 30-48 кг/м2) тұрақты күйде орташа AUC анти-Хa белсенділігі семіздікке шалдықпаған бақылау субъектілерімен салыстырғанда сәл жоғары, ал анти-Ха белсенділіктің плазмадағы максималды деңгейі артпайды. Тері астына енгізу жүргізілген толық субъектілерде салмағына қарай түзетілген барынша төмен клиренс байқалады.</w:t>
      </w:r>
    </w:p>
    <w:p w14:paraId="59BABDD5" w14:textId="77777777" w:rsidR="00866A7A" w:rsidRPr="00996810" w:rsidRDefault="002541C1" w:rsidP="00EF0FBB">
      <w:pPr>
        <w:spacing w:after="0" w:line="240" w:lineRule="auto"/>
        <w:jc w:val="both"/>
        <w:rPr>
          <w:rFonts w:ascii="Times New Roman" w:eastAsia="Calibri" w:hAnsi="Times New Roman" w:cs="Times New Roman"/>
          <w:sz w:val="24"/>
          <w:szCs w:val="24"/>
          <w:lang w:val="kk" w:bidi="ar-IQ"/>
        </w:rPr>
      </w:pPr>
      <w:r w:rsidRPr="00996810">
        <w:rPr>
          <w:rFonts w:ascii="Times New Roman" w:eastAsia="Calibri" w:hAnsi="Times New Roman" w:cs="Times New Roman"/>
          <w:sz w:val="24"/>
          <w:szCs w:val="24"/>
          <w:lang w:val="kk" w:bidi="ar-IQ"/>
        </w:rPr>
        <w:lastRenderedPageBreak/>
        <w:t>Салмаққа түзетусіз дозаны енгізу кезінде 4000 ХБ (40 мг) бір реттік тері астына енгізгеннен кейін салмағы қалыпты бақылау субъектілерімен салыстырғанда анти-Xa әсері салмағы төмен әйелдерде (&lt;45 кг) 52% - ға және салмағы төмен ерлерде (&lt;57 кг) 27% - ға жоғары екендігі анықталды (4.4-бөлімді қараңыз).</w:t>
      </w:r>
    </w:p>
    <w:p w14:paraId="6C117A21" w14:textId="77777777" w:rsidR="00EF0FBB" w:rsidRPr="00996810" w:rsidRDefault="002541C1" w:rsidP="00EF0FBB">
      <w:pPr>
        <w:spacing w:after="0" w:line="240" w:lineRule="auto"/>
        <w:jc w:val="both"/>
        <w:rPr>
          <w:rFonts w:ascii="Times New Roman" w:eastAsia="Calibri" w:hAnsi="Times New Roman" w:cs="Times New Roman"/>
          <w:i/>
          <w:iCs/>
          <w:sz w:val="24"/>
          <w:szCs w:val="24"/>
          <w:lang w:val="kk" w:bidi="ar-IQ"/>
        </w:rPr>
      </w:pPr>
      <w:r w:rsidRPr="00996810">
        <w:rPr>
          <w:rFonts w:ascii="Times New Roman" w:eastAsia="Calibri" w:hAnsi="Times New Roman" w:cs="Times New Roman"/>
          <w:i/>
          <w:iCs/>
          <w:sz w:val="24"/>
          <w:szCs w:val="24"/>
          <w:lang w:val="kk" w:bidi="ar-IQ"/>
        </w:rPr>
        <w:t>Фармакокинетикалық өзара әрекеттесу</w:t>
      </w:r>
    </w:p>
    <w:p w14:paraId="75873773" w14:textId="77777777" w:rsidR="00EF0FBB" w:rsidRPr="00996810" w:rsidRDefault="002541C1" w:rsidP="00EF0FBB">
      <w:pPr>
        <w:spacing w:after="0" w:line="240" w:lineRule="auto"/>
        <w:jc w:val="both"/>
        <w:rPr>
          <w:rFonts w:ascii="Times New Roman" w:eastAsia="Calibri" w:hAnsi="Times New Roman" w:cs="Times New Roman"/>
          <w:sz w:val="24"/>
          <w:szCs w:val="24"/>
          <w:lang w:val="kk" w:bidi="ar-IQ"/>
        </w:rPr>
      </w:pPr>
      <w:r w:rsidRPr="00996810">
        <w:rPr>
          <w:rFonts w:ascii="Times New Roman" w:eastAsia="Calibri" w:hAnsi="Times New Roman" w:cs="Times New Roman"/>
          <w:sz w:val="24"/>
          <w:szCs w:val="24"/>
          <w:lang w:val="kk" w:bidi="ar-IQ"/>
        </w:rPr>
        <w:t xml:space="preserve">Натрий эноксапарині мен тромболитиктерді бір мезгілде қолданғанда фармакокинетикалық өзара әрекеттесулер байқалмады. </w:t>
      </w:r>
    </w:p>
    <w:p w14:paraId="5F673388" w14:textId="77777777" w:rsidR="00EF0FBB" w:rsidRPr="00996810" w:rsidRDefault="00EF0FBB" w:rsidP="00EF0FBB">
      <w:pPr>
        <w:spacing w:after="0" w:line="240" w:lineRule="auto"/>
        <w:jc w:val="both"/>
        <w:rPr>
          <w:rFonts w:ascii="Times New Roman" w:eastAsia="Calibri" w:hAnsi="Times New Roman" w:cs="Times New Roman"/>
          <w:sz w:val="24"/>
          <w:szCs w:val="24"/>
          <w:lang w:val="kk" w:bidi="ar-IQ"/>
        </w:rPr>
      </w:pPr>
    </w:p>
    <w:p w14:paraId="1530D2E2" w14:textId="77777777" w:rsidR="00DF7618" w:rsidRPr="00996810" w:rsidRDefault="002541C1" w:rsidP="00DF7618">
      <w:pPr>
        <w:autoSpaceDE w:val="0"/>
        <w:autoSpaceDN w:val="0"/>
        <w:adjustRightInd w:val="0"/>
        <w:spacing w:after="0" w:line="240" w:lineRule="auto"/>
        <w:jc w:val="both"/>
        <w:rPr>
          <w:rFonts w:ascii="Times New Roman" w:eastAsia="TimesNewRomanPSMT" w:hAnsi="Times New Roman"/>
          <w:b/>
          <w:sz w:val="24"/>
          <w:szCs w:val="24"/>
          <w:lang w:val="kk" w:eastAsia="ru-RU"/>
        </w:rPr>
      </w:pPr>
      <w:r w:rsidRPr="00996810">
        <w:rPr>
          <w:rFonts w:ascii="Times New Roman" w:hAnsi="Times New Roman"/>
          <w:b/>
          <w:sz w:val="24"/>
          <w:szCs w:val="24"/>
          <w:lang w:val="kk" w:eastAsia="ru-RU"/>
        </w:rPr>
        <w:t>5.3. Клиникаға дейінгі қауіпсіздік деректері</w:t>
      </w:r>
    </w:p>
    <w:p w14:paraId="0D16DFDA" w14:textId="77777777" w:rsidR="00DF7618" w:rsidRPr="00996810" w:rsidRDefault="002541C1" w:rsidP="00DF7618">
      <w:pPr>
        <w:autoSpaceDE w:val="0"/>
        <w:autoSpaceDN w:val="0"/>
        <w:adjustRightInd w:val="0"/>
        <w:spacing w:after="0" w:line="240" w:lineRule="auto"/>
        <w:jc w:val="both"/>
        <w:rPr>
          <w:rFonts w:ascii="Times New Roman" w:hAnsi="Times New Roman"/>
          <w:iCs/>
          <w:sz w:val="24"/>
          <w:szCs w:val="24"/>
          <w:lang w:val="kk" w:eastAsia="ru-RU"/>
        </w:rPr>
      </w:pPr>
      <w:r w:rsidRPr="00996810">
        <w:rPr>
          <w:rFonts w:ascii="Times New Roman" w:hAnsi="Times New Roman"/>
          <w:iCs/>
          <w:sz w:val="24"/>
          <w:szCs w:val="24"/>
          <w:lang w:val="kk" w:eastAsia="ru-RU"/>
        </w:rPr>
        <w:t>Егеуқұйрықтарда да, иттерде де теріастылық уыттылығына жүргізілген 13-апталық зерттеулерде 15 мг/кг/тәулік кезінде және егеуқұйрықтарда да, маймылдарда да теріастылық және венаішілік уыттылығына жүргізілген 26-апталық зерттеулерде 10 мг/кг/тәулік кезінде, натрий эноксапаринінің антикоагулянттық әсерлерінен тыс, жағымсыз әсерлерінің ешқандай дәлелдері болмады.</w:t>
      </w:r>
    </w:p>
    <w:p w14:paraId="41966711" w14:textId="77777777" w:rsidR="00DF7618" w:rsidRPr="00996810" w:rsidRDefault="002541C1" w:rsidP="00DF7618">
      <w:pPr>
        <w:autoSpaceDE w:val="0"/>
        <w:autoSpaceDN w:val="0"/>
        <w:adjustRightInd w:val="0"/>
        <w:spacing w:after="0" w:line="240" w:lineRule="auto"/>
        <w:jc w:val="both"/>
        <w:rPr>
          <w:rFonts w:ascii="Times New Roman" w:hAnsi="Times New Roman"/>
          <w:iCs/>
          <w:sz w:val="24"/>
          <w:szCs w:val="24"/>
          <w:lang w:val="kk" w:eastAsia="ru-RU"/>
        </w:rPr>
      </w:pPr>
      <w:r w:rsidRPr="00996810">
        <w:rPr>
          <w:rFonts w:ascii="Times New Roman" w:hAnsi="Times New Roman"/>
          <w:sz w:val="24"/>
          <w:szCs w:val="24"/>
          <w:lang w:val="kk"/>
        </w:rPr>
        <w:t xml:space="preserve">Натрий эноксапарині Эймс тестісін, тышқанның лимфома жасушаларының тікелей мутациялану тестісін қоса,  </w:t>
      </w:r>
      <w:r w:rsidRPr="00996810">
        <w:rPr>
          <w:rFonts w:ascii="Times New Roman" w:hAnsi="Times New Roman"/>
          <w:i/>
          <w:iCs/>
          <w:sz w:val="24"/>
          <w:szCs w:val="24"/>
          <w:lang w:val="kk"/>
        </w:rPr>
        <w:t>in vitro</w:t>
      </w:r>
      <w:r w:rsidRPr="00996810">
        <w:rPr>
          <w:rFonts w:ascii="Times New Roman" w:hAnsi="Times New Roman"/>
          <w:sz w:val="24"/>
          <w:szCs w:val="24"/>
          <w:lang w:val="kk"/>
        </w:rPr>
        <w:t xml:space="preserve"> тестілері негізінде ешқандай мутагендік белсенділік көрсетпеді.  Натрий эноксапарині </w:t>
      </w:r>
      <w:r w:rsidRPr="00996810">
        <w:rPr>
          <w:rFonts w:ascii="Times New Roman" w:hAnsi="Times New Roman"/>
          <w:i/>
          <w:iCs/>
          <w:sz w:val="24"/>
          <w:szCs w:val="24"/>
          <w:lang w:val="kk"/>
        </w:rPr>
        <w:t>in vitro</w:t>
      </w:r>
      <w:r w:rsidRPr="00996810">
        <w:rPr>
          <w:rFonts w:ascii="Times New Roman" w:hAnsi="Times New Roman"/>
          <w:sz w:val="24"/>
          <w:szCs w:val="24"/>
          <w:lang w:val="kk"/>
        </w:rPr>
        <w:t xml:space="preserve"> адам лимфоциттерінің хромосомалық аберрация тестісі мен </w:t>
      </w:r>
      <w:r w:rsidRPr="00996810">
        <w:rPr>
          <w:rFonts w:ascii="Times New Roman" w:hAnsi="Times New Roman"/>
          <w:i/>
          <w:iCs/>
          <w:sz w:val="24"/>
          <w:szCs w:val="24"/>
          <w:lang w:val="kk"/>
        </w:rPr>
        <w:t>in vivo</w:t>
      </w:r>
      <w:r w:rsidRPr="00996810">
        <w:rPr>
          <w:rFonts w:ascii="Times New Roman" w:hAnsi="Times New Roman"/>
          <w:sz w:val="24"/>
          <w:szCs w:val="24"/>
          <w:lang w:val="kk"/>
        </w:rPr>
        <w:t xml:space="preserve"> егеуқұйрық сүйек кемігінің хромосомалық аберрация тестісі негізінде ешқандай </w:t>
      </w:r>
      <w:r w:rsidRPr="00996810">
        <w:rPr>
          <w:rFonts w:ascii="Times New Roman" w:hAnsi="Times New Roman"/>
          <w:i/>
          <w:iCs/>
          <w:sz w:val="24"/>
          <w:szCs w:val="24"/>
          <w:lang w:val="kk"/>
        </w:rPr>
        <w:t>кластогенді белсенділік</w:t>
      </w:r>
      <w:r w:rsidRPr="00996810">
        <w:rPr>
          <w:rFonts w:ascii="Times New Roman" w:hAnsi="Times New Roman"/>
          <w:sz w:val="24"/>
          <w:szCs w:val="24"/>
          <w:lang w:val="kk"/>
        </w:rPr>
        <w:t xml:space="preserve"> көрсетпеді.</w:t>
      </w:r>
    </w:p>
    <w:p w14:paraId="41FCCBD8" w14:textId="77777777" w:rsidR="00DF7618" w:rsidRPr="00996810" w:rsidRDefault="002541C1" w:rsidP="00DF7618">
      <w:pPr>
        <w:autoSpaceDE w:val="0"/>
        <w:autoSpaceDN w:val="0"/>
        <w:adjustRightInd w:val="0"/>
        <w:spacing w:after="0" w:line="240" w:lineRule="auto"/>
        <w:jc w:val="both"/>
        <w:rPr>
          <w:rFonts w:ascii="Times New Roman" w:hAnsi="Times New Roman"/>
          <w:iCs/>
          <w:sz w:val="24"/>
          <w:szCs w:val="24"/>
          <w:lang w:val="kk" w:eastAsia="ru-RU"/>
        </w:rPr>
      </w:pPr>
      <w:r w:rsidRPr="00996810">
        <w:rPr>
          <w:rFonts w:ascii="Times New Roman" w:hAnsi="Times New Roman"/>
          <w:iCs/>
          <w:sz w:val="24"/>
          <w:szCs w:val="24"/>
          <w:lang w:val="kk" w:eastAsia="ru-RU"/>
        </w:rPr>
        <w:t>Буаз егеуқұйрықтар мен үй қояндарына жүргізілген зерттеулерде натрий эноксапаринін 30 мг/кг/тәулікке дейінгі дозаларда тері астына енгізгенде қандай да бір тератогенді әсер ету немесе фетоуыттылық деректері анықталмады. Натрий эноксапарині тері астына салынған 20 мг/кг/тәулікке дейінгі дозаларда еркек және ұрғашы егеуқұйрықтардың  фертильділігіне немесе репродуктивтік функциясына ықпалын тигізбеді.</w:t>
      </w:r>
    </w:p>
    <w:p w14:paraId="1A25010D" w14:textId="77777777" w:rsidR="00DF7618" w:rsidRPr="00996810" w:rsidRDefault="00DF7618" w:rsidP="00DF7618">
      <w:pPr>
        <w:autoSpaceDE w:val="0"/>
        <w:autoSpaceDN w:val="0"/>
        <w:adjustRightInd w:val="0"/>
        <w:spacing w:after="0" w:line="240" w:lineRule="auto"/>
        <w:jc w:val="both"/>
        <w:rPr>
          <w:rFonts w:ascii="Times New Roman" w:hAnsi="Times New Roman"/>
          <w:b/>
          <w:sz w:val="24"/>
          <w:szCs w:val="24"/>
          <w:lang w:val="kk" w:eastAsia="ru-RU"/>
        </w:rPr>
      </w:pPr>
    </w:p>
    <w:p w14:paraId="18A61290"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6. ФАРМАЦЕВТИКАЛЫҚ СИПАТТАМАЛАРЫ</w:t>
      </w:r>
    </w:p>
    <w:p w14:paraId="3622D2B0"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6.1. Қосымша заттар тізбесі</w:t>
      </w:r>
    </w:p>
    <w:p w14:paraId="70F98280" w14:textId="77777777" w:rsidR="004A183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хлорсутек қышқылы (рН түзету үшін)</w:t>
      </w:r>
    </w:p>
    <w:p w14:paraId="2F105D2A" w14:textId="77777777" w:rsidR="004A183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натрий гидроксиді (рН түзету үшін)</w:t>
      </w:r>
    </w:p>
    <w:p w14:paraId="21D2E70E" w14:textId="77777777" w:rsidR="004A183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инъекцияға арналған су</w:t>
      </w:r>
    </w:p>
    <w:p w14:paraId="32F6D2E9" w14:textId="77777777" w:rsidR="001B3846" w:rsidRPr="00996810" w:rsidRDefault="001B3846" w:rsidP="00A75F5E">
      <w:pPr>
        <w:spacing w:after="0" w:line="240" w:lineRule="auto"/>
        <w:jc w:val="both"/>
        <w:rPr>
          <w:rFonts w:ascii="Times New Roman" w:hAnsi="Times New Roman" w:cs="Times New Roman"/>
          <w:sz w:val="24"/>
          <w:szCs w:val="24"/>
          <w:lang w:val="kk"/>
        </w:rPr>
      </w:pPr>
    </w:p>
    <w:p w14:paraId="420611C8"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6.2. Үйлесімсіздігі</w:t>
      </w:r>
    </w:p>
    <w:p w14:paraId="7DE4F706" w14:textId="77777777" w:rsidR="00A7222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Белгісіз.</w:t>
      </w:r>
    </w:p>
    <w:p w14:paraId="53E5AB6C" w14:textId="77777777" w:rsidR="007B4071" w:rsidRPr="00996810" w:rsidRDefault="007B4071" w:rsidP="00A75F5E">
      <w:pPr>
        <w:spacing w:after="0" w:line="240" w:lineRule="auto"/>
        <w:jc w:val="both"/>
        <w:rPr>
          <w:rFonts w:ascii="Times New Roman" w:hAnsi="Times New Roman" w:cs="Times New Roman"/>
          <w:sz w:val="24"/>
          <w:szCs w:val="24"/>
          <w:lang w:val="kk"/>
        </w:rPr>
      </w:pPr>
    </w:p>
    <w:p w14:paraId="2CEE2D05"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 xml:space="preserve">6.3. Жарамдылық мерзімі </w:t>
      </w:r>
    </w:p>
    <w:p w14:paraId="4841EA0A" w14:textId="77777777" w:rsidR="00A7222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3 жыл</w:t>
      </w:r>
    </w:p>
    <w:p w14:paraId="23BC5794" w14:textId="77777777" w:rsidR="007B4071"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Жарамдылық мерзімі өткеннен кейін қолдануға болмайды.</w:t>
      </w:r>
    </w:p>
    <w:p w14:paraId="0B78895B" w14:textId="77777777" w:rsidR="007B4071" w:rsidRPr="00996810" w:rsidRDefault="007B4071" w:rsidP="00A75F5E">
      <w:pPr>
        <w:spacing w:after="0" w:line="240" w:lineRule="auto"/>
        <w:jc w:val="both"/>
        <w:rPr>
          <w:rFonts w:ascii="Times New Roman" w:hAnsi="Times New Roman" w:cs="Times New Roman"/>
          <w:sz w:val="24"/>
          <w:szCs w:val="24"/>
          <w:lang w:val="kk"/>
        </w:rPr>
      </w:pPr>
    </w:p>
    <w:p w14:paraId="2A3A3191"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6.4. Сақтау кезіндегі айрықша сақтандыру шаралары</w:t>
      </w:r>
    </w:p>
    <w:p w14:paraId="158C426C" w14:textId="77777777" w:rsidR="00A7222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Құрғақ, жарықтан қорғалған жерде, 30 </w:t>
      </w:r>
      <w:r w:rsidRPr="00996810">
        <w:rPr>
          <w:rFonts w:ascii="Times New Roman" w:hAnsi="Times New Roman" w:cs="Times New Roman"/>
          <w:sz w:val="24"/>
          <w:szCs w:val="24"/>
          <w:vertAlign w:val="superscript"/>
          <w:lang w:val="kk"/>
        </w:rPr>
        <w:t>0</w:t>
      </w:r>
      <w:r w:rsidRPr="00996810">
        <w:rPr>
          <w:rFonts w:ascii="Times New Roman" w:hAnsi="Times New Roman" w:cs="Times New Roman"/>
          <w:sz w:val="24"/>
          <w:szCs w:val="24"/>
          <w:lang w:val="kk"/>
        </w:rPr>
        <w:t>С-ден аспайтын температурада сақтау керек.</w:t>
      </w:r>
    </w:p>
    <w:p w14:paraId="40DCEC4C" w14:textId="77777777" w:rsidR="007B4071"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Балалардың қолы жетпейтін жерде сақтау керек!</w:t>
      </w:r>
    </w:p>
    <w:p w14:paraId="7661E8E3" w14:textId="77777777" w:rsidR="007B4071" w:rsidRPr="00996810" w:rsidRDefault="007B4071" w:rsidP="00A75F5E">
      <w:pPr>
        <w:spacing w:after="0" w:line="240" w:lineRule="auto"/>
        <w:jc w:val="both"/>
        <w:rPr>
          <w:rFonts w:ascii="Times New Roman" w:hAnsi="Times New Roman" w:cs="Times New Roman"/>
          <w:sz w:val="24"/>
          <w:szCs w:val="24"/>
          <w:lang w:val="kk"/>
        </w:rPr>
      </w:pPr>
    </w:p>
    <w:p w14:paraId="25303F08"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6.5. Шығарылу түрі және қаптамасы</w:t>
      </w:r>
    </w:p>
    <w:p w14:paraId="46EEE568" w14:textId="77777777" w:rsidR="007C6447" w:rsidRPr="00996810" w:rsidRDefault="002541C1" w:rsidP="007C6447">
      <w:pPr>
        <w:spacing w:after="0" w:line="240" w:lineRule="auto"/>
        <w:jc w:val="both"/>
        <w:rPr>
          <w:rFonts w:ascii="Times New Roman" w:hAnsi="Times New Roman" w:cs="Times New Roman"/>
          <w:bCs/>
          <w:sz w:val="24"/>
          <w:szCs w:val="24"/>
          <w:lang w:val="kk"/>
        </w:rPr>
      </w:pPr>
      <w:r w:rsidRPr="00996810">
        <w:rPr>
          <w:rFonts w:ascii="Times New Roman" w:hAnsi="Times New Roman" w:cs="Times New Roman"/>
          <w:bCs/>
          <w:sz w:val="24"/>
          <w:szCs w:val="24"/>
          <w:lang w:val="kk"/>
        </w:rPr>
        <w:t>0.2 мл және 0.4 мл препараттан АҚШФ 1 типті түссіз шыныдан жасалған  шприцтерге құйылған.</w:t>
      </w:r>
    </w:p>
    <w:p w14:paraId="55E395E8" w14:textId="77777777" w:rsidR="007C6447" w:rsidRPr="00996810" w:rsidRDefault="002541C1" w:rsidP="007C6447">
      <w:pPr>
        <w:spacing w:after="0" w:line="240" w:lineRule="auto"/>
        <w:jc w:val="both"/>
        <w:rPr>
          <w:rFonts w:ascii="Times New Roman" w:hAnsi="Times New Roman" w:cs="Times New Roman"/>
          <w:bCs/>
          <w:sz w:val="24"/>
          <w:szCs w:val="24"/>
          <w:lang w:val="kk"/>
        </w:rPr>
      </w:pPr>
      <w:r w:rsidRPr="00996810">
        <w:rPr>
          <w:rFonts w:ascii="Times New Roman" w:hAnsi="Times New Roman" w:cs="Times New Roman"/>
          <w:bCs/>
          <w:sz w:val="24"/>
          <w:szCs w:val="24"/>
          <w:lang w:val="kk"/>
        </w:rPr>
        <w:t>1 шприцтен пластик контейнерге салынады. 1 контейнерден  медициналық қолдану жөніндегі қазақ және орыс тілдеріндегі нұсқаулықпен бірге картон қорапшаға салынған.</w:t>
      </w:r>
    </w:p>
    <w:p w14:paraId="16FAB7EE" w14:textId="77777777" w:rsidR="00A351F7" w:rsidRPr="00996810" w:rsidRDefault="002541C1" w:rsidP="007C6447">
      <w:pPr>
        <w:spacing w:after="0" w:line="240" w:lineRule="auto"/>
        <w:jc w:val="both"/>
        <w:rPr>
          <w:rFonts w:ascii="Times New Roman" w:hAnsi="Times New Roman" w:cs="Times New Roman"/>
          <w:bCs/>
          <w:sz w:val="24"/>
          <w:szCs w:val="24"/>
          <w:lang w:val="kk"/>
        </w:rPr>
      </w:pPr>
      <w:r w:rsidRPr="00996810">
        <w:rPr>
          <w:rFonts w:ascii="Times New Roman" w:hAnsi="Times New Roman" w:cs="Times New Roman"/>
          <w:bCs/>
          <w:sz w:val="24"/>
          <w:szCs w:val="24"/>
          <w:lang w:val="kk"/>
        </w:rPr>
        <w:t>2 шприцтен пластик контейнерге салынады. 5 контейнерден  медициналық қолдану жөніндегі қазақ және орыс тілдеріндегі нұсқаулықпен бірге картон қорапшаға салынған.</w:t>
      </w:r>
    </w:p>
    <w:p w14:paraId="2B6EE65A" w14:textId="77777777" w:rsidR="00B70E53" w:rsidRPr="00996810" w:rsidRDefault="00B70E53" w:rsidP="007C6447">
      <w:pPr>
        <w:spacing w:after="0" w:line="240" w:lineRule="auto"/>
        <w:jc w:val="both"/>
        <w:rPr>
          <w:rFonts w:ascii="Times New Roman" w:hAnsi="Times New Roman" w:cs="Times New Roman"/>
          <w:bCs/>
          <w:sz w:val="24"/>
          <w:szCs w:val="24"/>
          <w:lang w:val="kk"/>
        </w:rPr>
      </w:pPr>
    </w:p>
    <w:p w14:paraId="5887C9B5" w14:textId="77777777" w:rsidR="00A72229" w:rsidRPr="00996810" w:rsidRDefault="002541C1" w:rsidP="001847E4">
      <w:pPr>
        <w:spacing w:after="0" w:line="240" w:lineRule="auto"/>
        <w:jc w:val="both"/>
        <w:rPr>
          <w:rFonts w:ascii="Times New Roman" w:hAnsi="Times New Roman" w:cs="Times New Roman"/>
          <w:b/>
          <w:bCs/>
          <w:sz w:val="24"/>
          <w:szCs w:val="24"/>
          <w:lang w:val="kk"/>
        </w:rPr>
      </w:pPr>
      <w:r w:rsidRPr="00996810">
        <w:rPr>
          <w:rFonts w:ascii="Times New Roman" w:hAnsi="Times New Roman" w:cs="Times New Roman"/>
          <w:b/>
          <w:bCs/>
          <w:sz w:val="24"/>
          <w:szCs w:val="24"/>
          <w:lang w:val="kk"/>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6C521BBD" w14:textId="77777777" w:rsidR="00A72229" w:rsidRPr="00996810" w:rsidRDefault="002541C1" w:rsidP="00A75F5E">
      <w:pPr>
        <w:spacing w:after="0" w:line="240" w:lineRule="auto"/>
        <w:jc w:val="both"/>
        <w:rPr>
          <w:rFonts w:ascii="Times New Roman" w:hAnsi="Times New Roman" w:cs="Times New Roman"/>
          <w:bCs/>
          <w:sz w:val="24"/>
          <w:szCs w:val="24"/>
          <w:lang w:val="kk"/>
        </w:rPr>
      </w:pPr>
      <w:r w:rsidRPr="00996810">
        <w:rPr>
          <w:rFonts w:ascii="Times New Roman" w:hAnsi="Times New Roman" w:cs="Times New Roman"/>
          <w:bCs/>
          <w:sz w:val="24"/>
          <w:szCs w:val="24"/>
          <w:lang w:val="kk"/>
        </w:rPr>
        <w:t>Қалған барлық дәрілік препарат пен қалдықтарды белгіленген тәртіппен жою керек.</w:t>
      </w:r>
    </w:p>
    <w:p w14:paraId="24FF0C96" w14:textId="77777777" w:rsidR="007B4071" w:rsidRPr="00996810" w:rsidRDefault="007B4071" w:rsidP="00A75F5E">
      <w:pPr>
        <w:spacing w:after="0" w:line="240" w:lineRule="auto"/>
        <w:jc w:val="both"/>
        <w:rPr>
          <w:rFonts w:ascii="Times New Roman" w:hAnsi="Times New Roman" w:cs="Times New Roman"/>
          <w:bCs/>
          <w:sz w:val="24"/>
          <w:szCs w:val="24"/>
          <w:lang w:val="kk"/>
        </w:rPr>
      </w:pPr>
    </w:p>
    <w:p w14:paraId="679291C2" w14:textId="77777777" w:rsidR="007B4071" w:rsidRPr="00996810" w:rsidRDefault="002541C1" w:rsidP="00A75F5E">
      <w:pPr>
        <w:autoSpaceDE w:val="0"/>
        <w:autoSpaceDN w:val="0"/>
        <w:adjustRightInd w:val="0"/>
        <w:spacing w:after="0" w:line="240" w:lineRule="auto"/>
        <w:jc w:val="both"/>
        <w:rPr>
          <w:rFonts w:ascii="Times New Roman" w:hAnsi="Times New Roman" w:cs="Times New Roman"/>
          <w:b/>
          <w:bCs/>
          <w:sz w:val="24"/>
          <w:szCs w:val="28"/>
          <w:lang w:val="kk"/>
        </w:rPr>
      </w:pPr>
      <w:r w:rsidRPr="00996810">
        <w:rPr>
          <w:rFonts w:ascii="Times New Roman" w:hAnsi="Times New Roman" w:cs="Times New Roman"/>
          <w:b/>
          <w:bCs/>
          <w:sz w:val="24"/>
          <w:szCs w:val="28"/>
          <w:lang w:val="kk"/>
        </w:rPr>
        <w:t xml:space="preserve">6.7. Дәріханалардан босатылу шарттары </w:t>
      </w:r>
    </w:p>
    <w:p w14:paraId="7CEEB350" w14:textId="77777777" w:rsidR="007B4071" w:rsidRPr="00996810" w:rsidRDefault="002541C1" w:rsidP="00A75F5E">
      <w:pPr>
        <w:spacing w:after="0" w:line="240" w:lineRule="auto"/>
        <w:jc w:val="both"/>
        <w:rPr>
          <w:rFonts w:ascii="Times New Roman" w:hAnsi="Times New Roman" w:cs="Times New Roman"/>
          <w:bCs/>
          <w:sz w:val="24"/>
          <w:szCs w:val="28"/>
          <w:lang w:val="kk"/>
        </w:rPr>
      </w:pPr>
      <w:r w:rsidRPr="00996810">
        <w:rPr>
          <w:rFonts w:ascii="Times New Roman" w:hAnsi="Times New Roman" w:cs="Times New Roman"/>
          <w:bCs/>
          <w:sz w:val="24"/>
          <w:szCs w:val="28"/>
          <w:lang w:val="kk"/>
        </w:rPr>
        <w:t>Рецепт арқылы</w:t>
      </w:r>
    </w:p>
    <w:p w14:paraId="6C61FD38" w14:textId="77777777" w:rsidR="007B4071" w:rsidRPr="00996810" w:rsidRDefault="007B4071" w:rsidP="00A75F5E">
      <w:pPr>
        <w:spacing w:after="0" w:line="240" w:lineRule="auto"/>
        <w:jc w:val="both"/>
        <w:rPr>
          <w:rFonts w:ascii="Times New Roman" w:hAnsi="Times New Roman" w:cs="Times New Roman"/>
          <w:bCs/>
          <w:szCs w:val="24"/>
          <w:lang w:val="kk"/>
        </w:rPr>
      </w:pPr>
    </w:p>
    <w:p w14:paraId="063C429C" w14:textId="162BEBD2" w:rsidR="00FC66BA" w:rsidRPr="00996810" w:rsidRDefault="002541C1" w:rsidP="00A75F5E">
      <w:pPr>
        <w:spacing w:after="0" w:line="240" w:lineRule="auto"/>
        <w:jc w:val="both"/>
        <w:rPr>
          <w:rFonts w:ascii="Times New Roman" w:hAnsi="Times New Roman" w:cs="Times New Roman"/>
          <w:b/>
          <w:bCs/>
          <w:sz w:val="24"/>
          <w:szCs w:val="24"/>
          <w:lang w:val="kk"/>
        </w:rPr>
      </w:pPr>
      <w:r w:rsidRPr="00996810">
        <w:rPr>
          <w:rFonts w:ascii="Times New Roman" w:hAnsi="Times New Roman" w:cs="Times New Roman"/>
          <w:b/>
          <w:bCs/>
          <w:sz w:val="24"/>
          <w:szCs w:val="24"/>
          <w:lang w:val="kk"/>
        </w:rPr>
        <w:t>7. </w:t>
      </w:r>
      <w:r w:rsidR="0074150C" w:rsidRPr="0074150C">
        <w:rPr>
          <w:rFonts w:ascii="Times New Roman" w:hAnsi="Times New Roman" w:cs="Times New Roman"/>
          <w:b/>
          <w:bCs/>
          <w:sz w:val="24"/>
          <w:szCs w:val="24"/>
          <w:lang w:val="kk"/>
        </w:rPr>
        <w:t>ТІРКЕУ КУӘЛІГІНІҢ ҰСТАУШЫСЫ</w:t>
      </w:r>
    </w:p>
    <w:p w14:paraId="764AC238" w14:textId="77777777" w:rsidR="0074150C" w:rsidRPr="0074150C" w:rsidRDefault="0074150C" w:rsidP="0074150C">
      <w:pPr>
        <w:spacing w:after="0" w:line="240" w:lineRule="auto"/>
        <w:jc w:val="both"/>
        <w:rPr>
          <w:rFonts w:ascii="Times New Roman" w:eastAsia="Times New Roman" w:hAnsi="Times New Roman" w:cs="Times New Roman"/>
          <w:bCs/>
          <w:iCs/>
          <w:sz w:val="24"/>
          <w:szCs w:val="24"/>
          <w:lang w:val="kk" w:eastAsia="ru-RU"/>
        </w:rPr>
      </w:pPr>
      <w:r w:rsidRPr="0074150C">
        <w:rPr>
          <w:rFonts w:ascii="Times New Roman" w:eastAsia="Times New Roman" w:hAnsi="Times New Roman" w:cs="Times New Roman"/>
          <w:bCs/>
          <w:iCs/>
          <w:sz w:val="24"/>
          <w:szCs w:val="24"/>
          <w:lang w:val="kk" w:eastAsia="ru-RU"/>
        </w:rPr>
        <w:t>«Rogers Pharma» ЖШС, Қазақстан</w:t>
      </w:r>
    </w:p>
    <w:p w14:paraId="2D09E0F2" w14:textId="77777777" w:rsidR="0074150C" w:rsidRPr="0074150C" w:rsidRDefault="0074150C" w:rsidP="0074150C">
      <w:pPr>
        <w:spacing w:after="0" w:line="240" w:lineRule="auto"/>
        <w:jc w:val="both"/>
        <w:rPr>
          <w:rFonts w:ascii="Times New Roman" w:eastAsia="Times New Roman" w:hAnsi="Times New Roman" w:cs="Times New Roman"/>
          <w:bCs/>
          <w:iCs/>
          <w:sz w:val="24"/>
          <w:szCs w:val="24"/>
          <w:lang w:val="kk" w:eastAsia="ru-RU"/>
        </w:rPr>
      </w:pPr>
      <w:r w:rsidRPr="0074150C">
        <w:rPr>
          <w:rFonts w:ascii="Times New Roman" w:eastAsia="Times New Roman" w:hAnsi="Times New Roman" w:cs="Times New Roman"/>
          <w:bCs/>
          <w:iCs/>
          <w:sz w:val="24"/>
          <w:szCs w:val="24"/>
          <w:lang w:val="kk" w:eastAsia="ru-RU"/>
        </w:rPr>
        <w:t xml:space="preserve">050043, Алматы қ.,  Мирас ықш. ауд., 157, т.е. 819 </w:t>
      </w:r>
    </w:p>
    <w:p w14:paraId="6F076E77" w14:textId="77777777" w:rsidR="0074150C" w:rsidRPr="0074150C" w:rsidRDefault="0074150C" w:rsidP="0074150C">
      <w:pPr>
        <w:spacing w:after="0" w:line="240" w:lineRule="auto"/>
        <w:jc w:val="both"/>
        <w:rPr>
          <w:rFonts w:ascii="Times New Roman" w:eastAsia="Times New Roman" w:hAnsi="Times New Roman" w:cs="Times New Roman"/>
          <w:bCs/>
          <w:iCs/>
          <w:sz w:val="24"/>
          <w:szCs w:val="24"/>
          <w:lang w:val="en-US" w:eastAsia="ru-RU"/>
        </w:rPr>
      </w:pPr>
      <w:r w:rsidRPr="0074150C">
        <w:rPr>
          <w:rFonts w:ascii="Times New Roman" w:eastAsia="Times New Roman" w:hAnsi="Times New Roman" w:cs="Times New Roman"/>
          <w:bCs/>
          <w:iCs/>
          <w:sz w:val="24"/>
          <w:szCs w:val="24"/>
          <w:lang w:val="kk" w:eastAsia="ru-RU"/>
        </w:rPr>
        <w:t xml:space="preserve">Тел. (727) 311-81-96/97, e-mail: </w:t>
      </w:r>
      <w:hyperlink r:id="rId6" w:history="1">
        <w:r w:rsidRPr="0074150C">
          <w:rPr>
            <w:rStyle w:val="a3"/>
            <w:rFonts w:ascii="Times New Roman" w:eastAsia="Times New Roman" w:hAnsi="Times New Roman" w:cs="Times New Roman"/>
            <w:bCs/>
            <w:iCs/>
            <w:sz w:val="24"/>
            <w:szCs w:val="24"/>
            <w:lang w:val="kk" w:eastAsia="ru-RU"/>
          </w:rPr>
          <w:t>office.secretary@rogersgroup.in</w:t>
        </w:r>
      </w:hyperlink>
    </w:p>
    <w:p w14:paraId="699C1E83" w14:textId="77777777" w:rsidR="00FC66BA" w:rsidRPr="0074150C" w:rsidRDefault="00FC66BA" w:rsidP="00A75F5E">
      <w:pPr>
        <w:spacing w:after="0" w:line="240" w:lineRule="auto"/>
        <w:jc w:val="both"/>
        <w:rPr>
          <w:rFonts w:ascii="Times New Roman" w:hAnsi="Times New Roman" w:cs="Times New Roman"/>
          <w:b/>
          <w:bCs/>
          <w:sz w:val="24"/>
          <w:szCs w:val="24"/>
          <w:lang w:val="en-US"/>
        </w:rPr>
      </w:pPr>
    </w:p>
    <w:p w14:paraId="254B712A" w14:textId="48396A8F" w:rsidR="00A72229" w:rsidRPr="004156F7" w:rsidRDefault="002541C1" w:rsidP="00A75F5E">
      <w:pPr>
        <w:spacing w:after="0" w:line="240" w:lineRule="auto"/>
        <w:jc w:val="both"/>
        <w:rPr>
          <w:rFonts w:ascii="Times New Roman" w:hAnsi="Times New Roman" w:cs="Times New Roman"/>
          <w:b/>
          <w:bCs/>
          <w:sz w:val="24"/>
          <w:szCs w:val="24"/>
          <w:lang w:val="en-US"/>
        </w:rPr>
      </w:pPr>
      <w:r w:rsidRPr="00996810">
        <w:rPr>
          <w:rFonts w:ascii="Times New Roman" w:hAnsi="Times New Roman" w:cs="Times New Roman"/>
          <w:b/>
          <w:bCs/>
          <w:sz w:val="24"/>
          <w:szCs w:val="24"/>
          <w:lang w:val="kk"/>
        </w:rPr>
        <w:t xml:space="preserve">7.1 </w:t>
      </w:r>
      <w:r w:rsidR="0074150C" w:rsidRPr="0074150C">
        <w:rPr>
          <w:rFonts w:ascii="Times New Roman" w:hAnsi="Times New Roman" w:cs="Times New Roman"/>
          <w:b/>
          <w:bCs/>
          <w:sz w:val="24"/>
          <w:szCs w:val="24"/>
          <w:lang w:val="kk"/>
        </w:rPr>
        <w:t>ТІРКЕУ КУӘЛІГІ ҰСТАУШЫСЫНЫҢ ӨКІЛІ</w:t>
      </w:r>
    </w:p>
    <w:p w14:paraId="12159426" w14:textId="734A9F15" w:rsidR="0074150C" w:rsidRDefault="0074150C" w:rsidP="00BC3E61">
      <w:pPr>
        <w:spacing w:after="0" w:line="240" w:lineRule="auto"/>
        <w:jc w:val="both"/>
        <w:rPr>
          <w:rFonts w:ascii="Times New Roman" w:hAnsi="Times New Roman" w:cs="Times New Roman"/>
          <w:bCs/>
          <w:sz w:val="24"/>
          <w:szCs w:val="24"/>
          <w:lang w:val="kk"/>
        </w:rPr>
      </w:pPr>
      <w:r w:rsidRPr="0074150C">
        <w:rPr>
          <w:rFonts w:ascii="Times New Roman" w:hAnsi="Times New Roman" w:cs="Times New Roman"/>
          <w:bCs/>
          <w:sz w:val="24"/>
          <w:szCs w:val="24"/>
          <w:lang w:val="kk"/>
        </w:rPr>
        <w:t>Тұтынушылардың шағымдарын мына мекенжайға жіберу керек:</w:t>
      </w:r>
    </w:p>
    <w:p w14:paraId="5A412F79" w14:textId="3A63648F" w:rsidR="00BC3E61" w:rsidRPr="004156F7" w:rsidRDefault="002541C1" w:rsidP="00BC3E61">
      <w:pPr>
        <w:spacing w:after="0" w:line="240" w:lineRule="auto"/>
        <w:jc w:val="both"/>
        <w:rPr>
          <w:rFonts w:ascii="Times New Roman" w:hAnsi="Times New Roman" w:cs="Times New Roman"/>
          <w:bCs/>
          <w:sz w:val="24"/>
          <w:szCs w:val="24"/>
          <w:lang w:val="kk"/>
        </w:rPr>
      </w:pPr>
      <w:r w:rsidRPr="00996810">
        <w:rPr>
          <w:rFonts w:ascii="Times New Roman" w:hAnsi="Times New Roman" w:cs="Times New Roman"/>
          <w:bCs/>
          <w:sz w:val="24"/>
          <w:szCs w:val="24"/>
          <w:lang w:val="kk"/>
        </w:rPr>
        <w:t>«Rogers Pharma» ЖШС, Қазақстан</w:t>
      </w:r>
    </w:p>
    <w:p w14:paraId="11C71F49" w14:textId="77777777" w:rsidR="00BC3E61" w:rsidRPr="004156F7" w:rsidRDefault="002541C1" w:rsidP="00BC3E61">
      <w:pPr>
        <w:spacing w:after="0" w:line="240" w:lineRule="auto"/>
        <w:jc w:val="both"/>
        <w:rPr>
          <w:rFonts w:ascii="Times New Roman" w:hAnsi="Times New Roman" w:cs="Times New Roman"/>
          <w:bCs/>
          <w:iCs/>
          <w:sz w:val="24"/>
          <w:szCs w:val="24"/>
          <w:lang w:val="kk"/>
        </w:rPr>
      </w:pPr>
      <w:r w:rsidRPr="00996810">
        <w:rPr>
          <w:rFonts w:ascii="Times New Roman" w:hAnsi="Times New Roman" w:cs="Times New Roman"/>
          <w:bCs/>
          <w:iCs/>
          <w:sz w:val="24"/>
          <w:szCs w:val="24"/>
          <w:lang w:val="kk"/>
        </w:rPr>
        <w:t xml:space="preserve">050043, Алматы қ.,  Мирас ықш. ауд., 157, т.е. 819 </w:t>
      </w:r>
    </w:p>
    <w:p w14:paraId="1F07DD55" w14:textId="77777777" w:rsidR="007B4071" w:rsidRPr="00996810" w:rsidRDefault="002541C1" w:rsidP="00A75F5E">
      <w:pPr>
        <w:spacing w:after="0" w:line="240" w:lineRule="auto"/>
        <w:jc w:val="both"/>
        <w:rPr>
          <w:rFonts w:ascii="Times New Roman" w:hAnsi="Times New Roman" w:cs="Times New Roman"/>
          <w:bCs/>
          <w:iCs/>
          <w:sz w:val="24"/>
          <w:szCs w:val="24"/>
          <w:lang w:val="en-US"/>
        </w:rPr>
      </w:pPr>
      <w:r w:rsidRPr="00996810">
        <w:rPr>
          <w:rFonts w:ascii="Times New Roman" w:hAnsi="Times New Roman" w:cs="Times New Roman"/>
          <w:bCs/>
          <w:iCs/>
          <w:sz w:val="24"/>
          <w:szCs w:val="24"/>
          <w:lang w:val="kk"/>
        </w:rPr>
        <w:t xml:space="preserve">Тел. (727) 311-81-96/97, e-mail: </w:t>
      </w:r>
      <w:hyperlink r:id="rId7" w:history="1">
        <w:r w:rsidR="00FC66BA" w:rsidRPr="00996810">
          <w:rPr>
            <w:rStyle w:val="a3"/>
            <w:rFonts w:ascii="Times New Roman" w:hAnsi="Times New Roman" w:cs="Times New Roman"/>
            <w:bCs/>
            <w:iCs/>
            <w:sz w:val="24"/>
            <w:szCs w:val="24"/>
            <w:lang w:val="kk"/>
          </w:rPr>
          <w:t>office.secretary@rogersgroup.in</w:t>
        </w:r>
      </w:hyperlink>
    </w:p>
    <w:p w14:paraId="0BC2C6FF" w14:textId="77777777" w:rsidR="00FC66BA" w:rsidRPr="00996810" w:rsidRDefault="00FC66BA" w:rsidP="00A75F5E">
      <w:pPr>
        <w:spacing w:after="0" w:line="240" w:lineRule="auto"/>
        <w:jc w:val="both"/>
        <w:rPr>
          <w:rFonts w:ascii="Times New Roman" w:hAnsi="Times New Roman" w:cs="Times New Roman"/>
          <w:bCs/>
          <w:iCs/>
          <w:sz w:val="24"/>
          <w:szCs w:val="24"/>
          <w:lang w:val="en-US"/>
        </w:rPr>
      </w:pPr>
    </w:p>
    <w:p w14:paraId="4A58D231" w14:textId="77777777" w:rsidR="007B4071" w:rsidRPr="00996810" w:rsidRDefault="002541C1" w:rsidP="00A75F5E">
      <w:pPr>
        <w:spacing w:after="0" w:line="240" w:lineRule="auto"/>
        <w:jc w:val="both"/>
        <w:rPr>
          <w:rFonts w:ascii="Times New Roman" w:hAnsi="Times New Roman" w:cs="Times New Roman"/>
          <w:b/>
          <w:bCs/>
          <w:sz w:val="24"/>
          <w:szCs w:val="24"/>
          <w:lang w:val="en-US"/>
        </w:rPr>
      </w:pPr>
      <w:r w:rsidRPr="00996810">
        <w:rPr>
          <w:rFonts w:ascii="Times New Roman" w:hAnsi="Times New Roman" w:cs="Times New Roman"/>
          <w:b/>
          <w:bCs/>
          <w:sz w:val="24"/>
          <w:szCs w:val="24"/>
          <w:lang w:val="kk"/>
        </w:rPr>
        <w:t>8. ТІРКЕУ КУӘЛІГІНІҢ НӨМІРІ</w:t>
      </w:r>
    </w:p>
    <w:p w14:paraId="4C848C6C" w14:textId="77777777" w:rsidR="00BC3E61" w:rsidRPr="00996810" w:rsidRDefault="002541C1" w:rsidP="00BC3E61">
      <w:pPr>
        <w:spacing w:after="0" w:line="240" w:lineRule="auto"/>
        <w:rPr>
          <w:rFonts w:ascii="Times New Roman" w:eastAsia="Times New Roman" w:hAnsi="Times New Roman" w:cs="Times New Roman"/>
          <w:sz w:val="24"/>
          <w:szCs w:val="24"/>
          <w:lang w:val="en-US" w:eastAsia="ru-RU"/>
        </w:rPr>
      </w:pPr>
      <w:r w:rsidRPr="00996810">
        <w:rPr>
          <w:rFonts w:ascii="Times New Roman" w:eastAsia="Times New Roman" w:hAnsi="Times New Roman" w:cs="Times New Roman"/>
          <w:sz w:val="24"/>
          <w:szCs w:val="24"/>
          <w:lang w:val="kk" w:eastAsia="ru-RU"/>
        </w:rPr>
        <w:t>ҚР-ДЗ-5№021375 (2000 анти-Ха ХБ/0.2 мл дозасы үшін)</w:t>
      </w:r>
    </w:p>
    <w:p w14:paraId="140BF749" w14:textId="11FC9D7D" w:rsidR="00BC3E61" w:rsidRPr="00996810" w:rsidRDefault="002541C1" w:rsidP="00BC3E61">
      <w:pPr>
        <w:spacing w:after="0" w:line="240" w:lineRule="auto"/>
        <w:jc w:val="both"/>
        <w:rPr>
          <w:rFonts w:ascii="Times New Roman" w:hAnsi="Times New Roman" w:cs="Times New Roman"/>
          <w:b/>
          <w:bCs/>
          <w:sz w:val="24"/>
          <w:szCs w:val="24"/>
          <w:lang w:val="en-US"/>
        </w:rPr>
      </w:pPr>
      <w:r w:rsidRPr="00996810">
        <w:rPr>
          <w:rFonts w:ascii="Times New Roman" w:eastAsia="Times New Roman" w:hAnsi="Times New Roman" w:cs="Times New Roman"/>
          <w:sz w:val="24"/>
          <w:szCs w:val="24"/>
          <w:lang w:val="kk" w:eastAsia="ru-RU"/>
        </w:rPr>
        <w:t>ҚР-ДЗ-5№021376 (4000 анти-Ха ХБ/0.4 мл дозасы үшін)</w:t>
      </w:r>
    </w:p>
    <w:p w14:paraId="2A1A5C26" w14:textId="77777777" w:rsidR="007B4071" w:rsidRPr="00996810" w:rsidRDefault="007B4071" w:rsidP="00A75F5E">
      <w:pPr>
        <w:spacing w:after="0" w:line="240" w:lineRule="auto"/>
        <w:jc w:val="both"/>
        <w:rPr>
          <w:rFonts w:ascii="Times New Roman" w:hAnsi="Times New Roman" w:cs="Times New Roman"/>
          <w:b/>
          <w:bCs/>
          <w:sz w:val="24"/>
          <w:szCs w:val="24"/>
          <w:lang w:val="en-US"/>
        </w:rPr>
      </w:pPr>
    </w:p>
    <w:p w14:paraId="504DF339" w14:textId="77777777" w:rsidR="00A72229" w:rsidRPr="00996810" w:rsidRDefault="002541C1" w:rsidP="00A75F5E">
      <w:pPr>
        <w:spacing w:after="0" w:line="240" w:lineRule="auto"/>
        <w:jc w:val="both"/>
        <w:rPr>
          <w:rFonts w:ascii="Times New Roman" w:hAnsi="Times New Roman" w:cs="Times New Roman"/>
          <w:b/>
          <w:bCs/>
          <w:sz w:val="24"/>
          <w:szCs w:val="24"/>
          <w:lang w:val="kk"/>
        </w:rPr>
      </w:pPr>
      <w:r w:rsidRPr="00996810">
        <w:rPr>
          <w:rFonts w:ascii="Times New Roman" w:hAnsi="Times New Roman" w:cs="Times New Roman"/>
          <w:b/>
          <w:bCs/>
          <w:sz w:val="24"/>
          <w:szCs w:val="24"/>
          <w:lang w:val="kk"/>
        </w:rPr>
        <w:t xml:space="preserve">  9. БАСТАПҚЫ ТІРКЕЛГЕН   (ТІРКЕУ, ҚАЙТА ТІРКЕУ  РАСТАЛҒАН) КҮН</w:t>
      </w:r>
    </w:p>
    <w:p w14:paraId="5978AE3E" w14:textId="77777777" w:rsidR="007B4071" w:rsidRPr="00996810" w:rsidRDefault="002541C1" w:rsidP="00A75F5E">
      <w:pPr>
        <w:pStyle w:val="Style5"/>
        <w:widowControl/>
        <w:tabs>
          <w:tab w:val="left" w:pos="7371"/>
        </w:tabs>
        <w:spacing w:line="240" w:lineRule="auto"/>
        <w:jc w:val="both"/>
        <w:rPr>
          <w:rFonts w:eastAsia="Microsoft Sans Serif"/>
          <w:szCs w:val="28"/>
          <w:lang w:val="kk" w:bidi="ru-RU"/>
        </w:rPr>
      </w:pPr>
      <w:r w:rsidRPr="00996810">
        <w:rPr>
          <w:rFonts w:eastAsia="Microsoft Sans Serif"/>
          <w:szCs w:val="28"/>
          <w:lang w:val="kk" w:bidi="ru-RU"/>
        </w:rPr>
        <w:t>14.05.2015</w:t>
      </w:r>
    </w:p>
    <w:p w14:paraId="05C166E1" w14:textId="77777777" w:rsidR="007B4071" w:rsidRPr="00996810" w:rsidRDefault="002541C1" w:rsidP="00A75F5E">
      <w:pPr>
        <w:pStyle w:val="Style5"/>
        <w:widowControl/>
        <w:tabs>
          <w:tab w:val="left" w:pos="7371"/>
        </w:tabs>
        <w:spacing w:line="240" w:lineRule="auto"/>
        <w:jc w:val="both"/>
        <w:rPr>
          <w:rFonts w:eastAsia="Microsoft Sans Serif"/>
          <w:szCs w:val="28"/>
          <w:lang w:val="kk" w:bidi="ru-RU"/>
        </w:rPr>
      </w:pPr>
      <w:r w:rsidRPr="00996810">
        <w:rPr>
          <w:rFonts w:eastAsia="Microsoft Sans Serif"/>
          <w:szCs w:val="28"/>
          <w:lang w:val="kk" w:bidi="ru-RU"/>
        </w:rPr>
        <w:t xml:space="preserve">Тіркеу (қайта тіркеу) соңғы рет расталған күн: </w:t>
      </w:r>
    </w:p>
    <w:p w14:paraId="67947DDC" w14:textId="77777777" w:rsidR="007B4071" w:rsidRPr="00996810" w:rsidRDefault="002541C1" w:rsidP="00A75F5E">
      <w:pPr>
        <w:pStyle w:val="Style5"/>
        <w:widowControl/>
        <w:tabs>
          <w:tab w:val="left" w:pos="7371"/>
        </w:tabs>
        <w:spacing w:line="240" w:lineRule="auto"/>
        <w:jc w:val="both"/>
        <w:rPr>
          <w:rFonts w:eastAsia="Microsoft Sans Serif"/>
          <w:szCs w:val="28"/>
          <w:lang w:val="kk" w:bidi="ru-RU"/>
        </w:rPr>
      </w:pPr>
      <w:r w:rsidRPr="00996810">
        <w:rPr>
          <w:rFonts w:eastAsia="Microsoft Sans Serif"/>
          <w:szCs w:val="28"/>
          <w:lang w:val="kk" w:bidi="ru-RU"/>
        </w:rPr>
        <w:t>27.07.2020</w:t>
      </w:r>
    </w:p>
    <w:p w14:paraId="46AD3CA2" w14:textId="77777777" w:rsidR="007B4071" w:rsidRPr="00996810" w:rsidRDefault="007B4071" w:rsidP="00A75F5E">
      <w:pPr>
        <w:spacing w:after="0" w:line="240" w:lineRule="auto"/>
        <w:jc w:val="both"/>
        <w:rPr>
          <w:rFonts w:ascii="Times New Roman" w:hAnsi="Times New Roman" w:cs="Times New Roman"/>
          <w:bCs/>
          <w:sz w:val="24"/>
          <w:szCs w:val="24"/>
          <w:lang w:val="kk"/>
        </w:rPr>
      </w:pPr>
    </w:p>
    <w:p w14:paraId="7EFBF946" w14:textId="77777777" w:rsidR="00A72229" w:rsidRPr="00996810" w:rsidRDefault="002541C1" w:rsidP="00A75F5E">
      <w:pPr>
        <w:spacing w:after="0" w:line="240" w:lineRule="auto"/>
        <w:jc w:val="both"/>
        <w:rPr>
          <w:rFonts w:ascii="Times New Roman" w:hAnsi="Times New Roman" w:cs="Times New Roman"/>
          <w:b/>
          <w:bCs/>
          <w:sz w:val="24"/>
          <w:szCs w:val="24"/>
          <w:lang w:val="kk"/>
        </w:rPr>
      </w:pPr>
      <w:r w:rsidRPr="00996810">
        <w:rPr>
          <w:rFonts w:ascii="Times New Roman" w:hAnsi="Times New Roman" w:cs="Times New Roman"/>
          <w:b/>
          <w:bCs/>
          <w:sz w:val="24"/>
          <w:szCs w:val="24"/>
          <w:lang w:val="kk"/>
        </w:rPr>
        <w:t>10. МӘТІН ҚАЙТА ҚАРАЛҒАН КҮН</w:t>
      </w:r>
    </w:p>
    <w:p w14:paraId="2396FE3F" w14:textId="77777777" w:rsidR="009D542A" w:rsidRPr="00996810" w:rsidRDefault="009D542A" w:rsidP="00A75F5E">
      <w:pPr>
        <w:spacing w:after="0" w:line="240" w:lineRule="auto"/>
        <w:jc w:val="both"/>
        <w:rPr>
          <w:rFonts w:ascii="Times New Roman" w:eastAsia="TimesNewRomanPSMT" w:hAnsi="Times New Roman" w:cs="Times New Roman"/>
          <w:sz w:val="24"/>
          <w:szCs w:val="28"/>
          <w:lang w:val="kk" w:eastAsia="ru-RU"/>
        </w:rPr>
      </w:pPr>
    </w:p>
    <w:p w14:paraId="72A48EA0" w14:textId="77777777" w:rsidR="00A72229" w:rsidRPr="002541C1" w:rsidRDefault="002541C1" w:rsidP="00A75F5E">
      <w:pPr>
        <w:spacing w:after="0" w:line="240" w:lineRule="auto"/>
        <w:jc w:val="both"/>
        <w:rPr>
          <w:rFonts w:ascii="Times New Roman" w:hAnsi="Times New Roman" w:cs="Times New Roman"/>
          <w:bCs/>
          <w:szCs w:val="24"/>
          <w:lang w:val="kk"/>
        </w:rPr>
      </w:pPr>
      <w:r w:rsidRPr="00996810">
        <w:rPr>
          <w:rFonts w:ascii="Times New Roman" w:eastAsia="TimesNewRomanPSMT" w:hAnsi="Times New Roman" w:cs="Times New Roman"/>
          <w:sz w:val="24"/>
          <w:szCs w:val="28"/>
          <w:lang w:val="kk" w:eastAsia="ru-RU"/>
        </w:rPr>
        <w:t xml:space="preserve">Дәрілік препараттың жалпы сипаттамасын ресми сайттан қарауға болады  </w:t>
      </w:r>
      <w:hyperlink r:id="rId8" w:history="1">
        <w:r w:rsidRPr="00996810">
          <w:rPr>
            <w:rStyle w:val="a3"/>
            <w:rFonts w:ascii="Times New Roman" w:hAnsi="Times New Roman" w:cs="Times New Roman"/>
            <w:sz w:val="24"/>
            <w:szCs w:val="28"/>
            <w:lang w:val="kk"/>
          </w:rPr>
          <w:t>http://www.ndda.kz</w:t>
        </w:r>
      </w:hyperlink>
    </w:p>
    <w:sectPr w:rsidR="00A72229" w:rsidRPr="002541C1" w:rsidSect="00354AE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Описание: Description: BT_1000x858px" style="width:15.6pt;height:13.8pt" o:bullet="t">
        <v:imagedata r:id="rId1" o:title=" BT_1000x858px"/>
      </v:shape>
    </w:pict>
  </w:numPicBullet>
  <w:abstractNum w:abstractNumId="0" w15:restartNumberingAfterBreak="0">
    <w:nsid w:val="FFFFFF7C"/>
    <w:multiLevelType w:val="singleLevel"/>
    <w:tmpl w:val="DF7669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C8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EF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867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C6BA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E09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4EE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ADE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23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8412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1757"/>
    <w:multiLevelType w:val="hybridMultilevel"/>
    <w:tmpl w:val="24649578"/>
    <w:lvl w:ilvl="0" w:tplc="D04EF81A">
      <w:start w:val="1"/>
      <w:numFmt w:val="decimal"/>
      <w:lvlText w:val="%1."/>
      <w:lvlJc w:val="left"/>
      <w:pPr>
        <w:ind w:left="720" w:hanging="360"/>
      </w:pPr>
      <w:rPr>
        <w:rFonts w:hint="default"/>
      </w:rPr>
    </w:lvl>
    <w:lvl w:ilvl="1" w:tplc="A962BD38" w:tentative="1">
      <w:start w:val="1"/>
      <w:numFmt w:val="lowerLetter"/>
      <w:lvlText w:val="%2."/>
      <w:lvlJc w:val="left"/>
      <w:pPr>
        <w:ind w:left="1440" w:hanging="360"/>
      </w:pPr>
    </w:lvl>
    <w:lvl w:ilvl="2" w:tplc="84A0717E" w:tentative="1">
      <w:start w:val="1"/>
      <w:numFmt w:val="lowerRoman"/>
      <w:lvlText w:val="%3."/>
      <w:lvlJc w:val="right"/>
      <w:pPr>
        <w:ind w:left="2160" w:hanging="180"/>
      </w:pPr>
    </w:lvl>
    <w:lvl w:ilvl="3" w:tplc="732E2F1C" w:tentative="1">
      <w:start w:val="1"/>
      <w:numFmt w:val="decimal"/>
      <w:lvlText w:val="%4."/>
      <w:lvlJc w:val="left"/>
      <w:pPr>
        <w:ind w:left="2880" w:hanging="360"/>
      </w:pPr>
    </w:lvl>
    <w:lvl w:ilvl="4" w:tplc="CF7ECEDE" w:tentative="1">
      <w:start w:val="1"/>
      <w:numFmt w:val="lowerLetter"/>
      <w:lvlText w:val="%5."/>
      <w:lvlJc w:val="left"/>
      <w:pPr>
        <w:ind w:left="3600" w:hanging="360"/>
      </w:pPr>
    </w:lvl>
    <w:lvl w:ilvl="5" w:tplc="A0764862" w:tentative="1">
      <w:start w:val="1"/>
      <w:numFmt w:val="lowerRoman"/>
      <w:lvlText w:val="%6."/>
      <w:lvlJc w:val="right"/>
      <w:pPr>
        <w:ind w:left="4320" w:hanging="180"/>
      </w:pPr>
    </w:lvl>
    <w:lvl w:ilvl="6" w:tplc="653E5A48" w:tentative="1">
      <w:start w:val="1"/>
      <w:numFmt w:val="decimal"/>
      <w:lvlText w:val="%7."/>
      <w:lvlJc w:val="left"/>
      <w:pPr>
        <w:ind w:left="5040" w:hanging="360"/>
      </w:pPr>
    </w:lvl>
    <w:lvl w:ilvl="7" w:tplc="027A837E" w:tentative="1">
      <w:start w:val="1"/>
      <w:numFmt w:val="lowerLetter"/>
      <w:lvlText w:val="%8."/>
      <w:lvlJc w:val="left"/>
      <w:pPr>
        <w:ind w:left="5760" w:hanging="360"/>
      </w:pPr>
    </w:lvl>
    <w:lvl w:ilvl="8" w:tplc="1102C816" w:tentative="1">
      <w:start w:val="1"/>
      <w:numFmt w:val="lowerRoman"/>
      <w:lvlText w:val="%9."/>
      <w:lvlJc w:val="right"/>
      <w:pPr>
        <w:ind w:left="6480" w:hanging="180"/>
      </w:pPr>
    </w:lvl>
  </w:abstractNum>
  <w:abstractNum w:abstractNumId="11" w15:restartNumberingAfterBreak="0">
    <w:nsid w:val="02DB4B73"/>
    <w:multiLevelType w:val="hybridMultilevel"/>
    <w:tmpl w:val="6C2AFAB6"/>
    <w:lvl w:ilvl="0" w:tplc="B954709C">
      <w:start w:val="1"/>
      <w:numFmt w:val="bullet"/>
      <w:lvlText w:val=""/>
      <w:lvlPicBulletId w:val="0"/>
      <w:lvlJc w:val="left"/>
      <w:pPr>
        <w:tabs>
          <w:tab w:val="num" w:pos="720"/>
        </w:tabs>
        <w:ind w:left="720" w:hanging="360"/>
      </w:pPr>
      <w:rPr>
        <w:rFonts w:ascii="Symbol" w:hAnsi="Symbol" w:hint="default"/>
      </w:rPr>
    </w:lvl>
    <w:lvl w:ilvl="1" w:tplc="77A471D8" w:tentative="1">
      <w:start w:val="1"/>
      <w:numFmt w:val="bullet"/>
      <w:lvlText w:val=""/>
      <w:lvlJc w:val="left"/>
      <w:pPr>
        <w:tabs>
          <w:tab w:val="num" w:pos="1440"/>
        </w:tabs>
        <w:ind w:left="1440" w:hanging="360"/>
      </w:pPr>
      <w:rPr>
        <w:rFonts w:ascii="Symbol" w:hAnsi="Symbol" w:hint="default"/>
      </w:rPr>
    </w:lvl>
    <w:lvl w:ilvl="2" w:tplc="05CA9196" w:tentative="1">
      <w:start w:val="1"/>
      <w:numFmt w:val="bullet"/>
      <w:lvlText w:val=""/>
      <w:lvlJc w:val="left"/>
      <w:pPr>
        <w:tabs>
          <w:tab w:val="num" w:pos="2160"/>
        </w:tabs>
        <w:ind w:left="2160" w:hanging="360"/>
      </w:pPr>
      <w:rPr>
        <w:rFonts w:ascii="Symbol" w:hAnsi="Symbol" w:hint="default"/>
      </w:rPr>
    </w:lvl>
    <w:lvl w:ilvl="3" w:tplc="A992D088" w:tentative="1">
      <w:start w:val="1"/>
      <w:numFmt w:val="bullet"/>
      <w:lvlText w:val=""/>
      <w:lvlJc w:val="left"/>
      <w:pPr>
        <w:tabs>
          <w:tab w:val="num" w:pos="2880"/>
        </w:tabs>
        <w:ind w:left="2880" w:hanging="360"/>
      </w:pPr>
      <w:rPr>
        <w:rFonts w:ascii="Symbol" w:hAnsi="Symbol" w:hint="default"/>
      </w:rPr>
    </w:lvl>
    <w:lvl w:ilvl="4" w:tplc="876250F4" w:tentative="1">
      <w:start w:val="1"/>
      <w:numFmt w:val="bullet"/>
      <w:lvlText w:val=""/>
      <w:lvlJc w:val="left"/>
      <w:pPr>
        <w:tabs>
          <w:tab w:val="num" w:pos="3600"/>
        </w:tabs>
        <w:ind w:left="3600" w:hanging="360"/>
      </w:pPr>
      <w:rPr>
        <w:rFonts w:ascii="Symbol" w:hAnsi="Symbol" w:hint="default"/>
      </w:rPr>
    </w:lvl>
    <w:lvl w:ilvl="5" w:tplc="093A7630" w:tentative="1">
      <w:start w:val="1"/>
      <w:numFmt w:val="bullet"/>
      <w:lvlText w:val=""/>
      <w:lvlJc w:val="left"/>
      <w:pPr>
        <w:tabs>
          <w:tab w:val="num" w:pos="4320"/>
        </w:tabs>
        <w:ind w:left="4320" w:hanging="360"/>
      </w:pPr>
      <w:rPr>
        <w:rFonts w:ascii="Symbol" w:hAnsi="Symbol" w:hint="default"/>
      </w:rPr>
    </w:lvl>
    <w:lvl w:ilvl="6" w:tplc="8DBABAC8" w:tentative="1">
      <w:start w:val="1"/>
      <w:numFmt w:val="bullet"/>
      <w:lvlText w:val=""/>
      <w:lvlJc w:val="left"/>
      <w:pPr>
        <w:tabs>
          <w:tab w:val="num" w:pos="5040"/>
        </w:tabs>
        <w:ind w:left="5040" w:hanging="360"/>
      </w:pPr>
      <w:rPr>
        <w:rFonts w:ascii="Symbol" w:hAnsi="Symbol" w:hint="default"/>
      </w:rPr>
    </w:lvl>
    <w:lvl w:ilvl="7" w:tplc="15D86590" w:tentative="1">
      <w:start w:val="1"/>
      <w:numFmt w:val="bullet"/>
      <w:lvlText w:val=""/>
      <w:lvlJc w:val="left"/>
      <w:pPr>
        <w:tabs>
          <w:tab w:val="num" w:pos="5760"/>
        </w:tabs>
        <w:ind w:left="5760" w:hanging="360"/>
      </w:pPr>
      <w:rPr>
        <w:rFonts w:ascii="Symbol" w:hAnsi="Symbol" w:hint="default"/>
      </w:rPr>
    </w:lvl>
    <w:lvl w:ilvl="8" w:tplc="A8ECD93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5925C14"/>
    <w:multiLevelType w:val="hybridMultilevel"/>
    <w:tmpl w:val="4D9856C8"/>
    <w:lvl w:ilvl="0" w:tplc="49C0D066">
      <w:start w:val="1"/>
      <w:numFmt w:val="bullet"/>
      <w:lvlText w:val=""/>
      <w:lvlJc w:val="left"/>
      <w:pPr>
        <w:ind w:left="720" w:hanging="360"/>
      </w:pPr>
      <w:rPr>
        <w:rFonts w:ascii="Symbol" w:hAnsi="Symbol" w:hint="default"/>
      </w:rPr>
    </w:lvl>
    <w:lvl w:ilvl="1" w:tplc="91666D42" w:tentative="1">
      <w:start w:val="1"/>
      <w:numFmt w:val="bullet"/>
      <w:lvlText w:val="o"/>
      <w:lvlJc w:val="left"/>
      <w:pPr>
        <w:ind w:left="1440" w:hanging="360"/>
      </w:pPr>
      <w:rPr>
        <w:rFonts w:ascii="Courier New" w:hAnsi="Courier New" w:cs="Courier New" w:hint="default"/>
      </w:rPr>
    </w:lvl>
    <w:lvl w:ilvl="2" w:tplc="FC5E37C6" w:tentative="1">
      <w:start w:val="1"/>
      <w:numFmt w:val="bullet"/>
      <w:lvlText w:val=""/>
      <w:lvlJc w:val="left"/>
      <w:pPr>
        <w:ind w:left="2160" w:hanging="360"/>
      </w:pPr>
      <w:rPr>
        <w:rFonts w:ascii="Wingdings" w:hAnsi="Wingdings" w:hint="default"/>
      </w:rPr>
    </w:lvl>
    <w:lvl w:ilvl="3" w:tplc="05749FA2" w:tentative="1">
      <w:start w:val="1"/>
      <w:numFmt w:val="bullet"/>
      <w:lvlText w:val=""/>
      <w:lvlJc w:val="left"/>
      <w:pPr>
        <w:ind w:left="2880" w:hanging="360"/>
      </w:pPr>
      <w:rPr>
        <w:rFonts w:ascii="Symbol" w:hAnsi="Symbol" w:hint="default"/>
      </w:rPr>
    </w:lvl>
    <w:lvl w:ilvl="4" w:tplc="A6B6075A" w:tentative="1">
      <w:start w:val="1"/>
      <w:numFmt w:val="bullet"/>
      <w:lvlText w:val="o"/>
      <w:lvlJc w:val="left"/>
      <w:pPr>
        <w:ind w:left="3600" w:hanging="360"/>
      </w:pPr>
      <w:rPr>
        <w:rFonts w:ascii="Courier New" w:hAnsi="Courier New" w:cs="Courier New" w:hint="default"/>
      </w:rPr>
    </w:lvl>
    <w:lvl w:ilvl="5" w:tplc="55AAB082" w:tentative="1">
      <w:start w:val="1"/>
      <w:numFmt w:val="bullet"/>
      <w:lvlText w:val=""/>
      <w:lvlJc w:val="left"/>
      <w:pPr>
        <w:ind w:left="4320" w:hanging="360"/>
      </w:pPr>
      <w:rPr>
        <w:rFonts w:ascii="Wingdings" w:hAnsi="Wingdings" w:hint="default"/>
      </w:rPr>
    </w:lvl>
    <w:lvl w:ilvl="6" w:tplc="E3500032" w:tentative="1">
      <w:start w:val="1"/>
      <w:numFmt w:val="bullet"/>
      <w:lvlText w:val=""/>
      <w:lvlJc w:val="left"/>
      <w:pPr>
        <w:ind w:left="5040" w:hanging="360"/>
      </w:pPr>
      <w:rPr>
        <w:rFonts w:ascii="Symbol" w:hAnsi="Symbol" w:hint="default"/>
      </w:rPr>
    </w:lvl>
    <w:lvl w:ilvl="7" w:tplc="DE2614F6" w:tentative="1">
      <w:start w:val="1"/>
      <w:numFmt w:val="bullet"/>
      <w:lvlText w:val="o"/>
      <w:lvlJc w:val="left"/>
      <w:pPr>
        <w:ind w:left="5760" w:hanging="360"/>
      </w:pPr>
      <w:rPr>
        <w:rFonts w:ascii="Courier New" w:hAnsi="Courier New" w:cs="Courier New" w:hint="default"/>
      </w:rPr>
    </w:lvl>
    <w:lvl w:ilvl="8" w:tplc="9210EE38" w:tentative="1">
      <w:start w:val="1"/>
      <w:numFmt w:val="bullet"/>
      <w:lvlText w:val=""/>
      <w:lvlJc w:val="left"/>
      <w:pPr>
        <w:ind w:left="6480" w:hanging="360"/>
      </w:pPr>
      <w:rPr>
        <w:rFonts w:ascii="Wingdings" w:hAnsi="Wingdings" w:hint="default"/>
      </w:rPr>
    </w:lvl>
  </w:abstractNum>
  <w:abstractNum w:abstractNumId="13" w15:restartNumberingAfterBreak="0">
    <w:nsid w:val="08362B53"/>
    <w:multiLevelType w:val="hybridMultilevel"/>
    <w:tmpl w:val="9BA6BB06"/>
    <w:lvl w:ilvl="0" w:tplc="A40610FA">
      <w:start w:val="1"/>
      <w:numFmt w:val="bullet"/>
      <w:lvlText w:val=""/>
      <w:lvlJc w:val="left"/>
      <w:pPr>
        <w:ind w:left="1440" w:hanging="360"/>
      </w:pPr>
      <w:rPr>
        <w:rFonts w:ascii="Symbol" w:hAnsi="Symbol" w:hint="default"/>
      </w:rPr>
    </w:lvl>
    <w:lvl w:ilvl="1" w:tplc="A5CABCFE" w:tentative="1">
      <w:start w:val="1"/>
      <w:numFmt w:val="bullet"/>
      <w:lvlText w:val="o"/>
      <w:lvlJc w:val="left"/>
      <w:pPr>
        <w:ind w:left="2160" w:hanging="360"/>
      </w:pPr>
      <w:rPr>
        <w:rFonts w:ascii="Courier New" w:hAnsi="Courier New" w:cs="Courier New" w:hint="default"/>
      </w:rPr>
    </w:lvl>
    <w:lvl w:ilvl="2" w:tplc="CB8A2546" w:tentative="1">
      <w:start w:val="1"/>
      <w:numFmt w:val="bullet"/>
      <w:lvlText w:val=""/>
      <w:lvlJc w:val="left"/>
      <w:pPr>
        <w:ind w:left="2880" w:hanging="360"/>
      </w:pPr>
      <w:rPr>
        <w:rFonts w:ascii="Wingdings" w:hAnsi="Wingdings" w:hint="default"/>
      </w:rPr>
    </w:lvl>
    <w:lvl w:ilvl="3" w:tplc="6DC6DCB2" w:tentative="1">
      <w:start w:val="1"/>
      <w:numFmt w:val="bullet"/>
      <w:lvlText w:val=""/>
      <w:lvlJc w:val="left"/>
      <w:pPr>
        <w:ind w:left="3600" w:hanging="360"/>
      </w:pPr>
      <w:rPr>
        <w:rFonts w:ascii="Symbol" w:hAnsi="Symbol" w:hint="default"/>
      </w:rPr>
    </w:lvl>
    <w:lvl w:ilvl="4" w:tplc="3528BA10" w:tentative="1">
      <w:start w:val="1"/>
      <w:numFmt w:val="bullet"/>
      <w:lvlText w:val="o"/>
      <w:lvlJc w:val="left"/>
      <w:pPr>
        <w:ind w:left="4320" w:hanging="360"/>
      </w:pPr>
      <w:rPr>
        <w:rFonts w:ascii="Courier New" w:hAnsi="Courier New" w:cs="Courier New" w:hint="default"/>
      </w:rPr>
    </w:lvl>
    <w:lvl w:ilvl="5" w:tplc="7EC24C0A" w:tentative="1">
      <w:start w:val="1"/>
      <w:numFmt w:val="bullet"/>
      <w:lvlText w:val=""/>
      <w:lvlJc w:val="left"/>
      <w:pPr>
        <w:ind w:left="5040" w:hanging="360"/>
      </w:pPr>
      <w:rPr>
        <w:rFonts w:ascii="Wingdings" w:hAnsi="Wingdings" w:hint="default"/>
      </w:rPr>
    </w:lvl>
    <w:lvl w:ilvl="6" w:tplc="B2108292" w:tentative="1">
      <w:start w:val="1"/>
      <w:numFmt w:val="bullet"/>
      <w:lvlText w:val=""/>
      <w:lvlJc w:val="left"/>
      <w:pPr>
        <w:ind w:left="5760" w:hanging="360"/>
      </w:pPr>
      <w:rPr>
        <w:rFonts w:ascii="Symbol" w:hAnsi="Symbol" w:hint="default"/>
      </w:rPr>
    </w:lvl>
    <w:lvl w:ilvl="7" w:tplc="A59AB4A6" w:tentative="1">
      <w:start w:val="1"/>
      <w:numFmt w:val="bullet"/>
      <w:lvlText w:val="o"/>
      <w:lvlJc w:val="left"/>
      <w:pPr>
        <w:ind w:left="6480" w:hanging="360"/>
      </w:pPr>
      <w:rPr>
        <w:rFonts w:ascii="Courier New" w:hAnsi="Courier New" w:cs="Courier New" w:hint="default"/>
      </w:rPr>
    </w:lvl>
    <w:lvl w:ilvl="8" w:tplc="DB9803F4" w:tentative="1">
      <w:start w:val="1"/>
      <w:numFmt w:val="bullet"/>
      <w:lvlText w:val=""/>
      <w:lvlJc w:val="left"/>
      <w:pPr>
        <w:ind w:left="7200" w:hanging="360"/>
      </w:pPr>
      <w:rPr>
        <w:rFonts w:ascii="Wingdings" w:hAnsi="Wingdings" w:hint="default"/>
      </w:rPr>
    </w:lvl>
  </w:abstractNum>
  <w:abstractNum w:abstractNumId="14" w15:restartNumberingAfterBreak="0">
    <w:nsid w:val="090F29D6"/>
    <w:multiLevelType w:val="hybridMultilevel"/>
    <w:tmpl w:val="478AD166"/>
    <w:lvl w:ilvl="0" w:tplc="B0F6585E">
      <w:start w:val="1"/>
      <w:numFmt w:val="bullet"/>
      <w:lvlText w:val=""/>
      <w:lvlJc w:val="left"/>
      <w:pPr>
        <w:ind w:left="720" w:hanging="360"/>
      </w:pPr>
      <w:rPr>
        <w:rFonts w:ascii="Symbol" w:hAnsi="Symbol" w:hint="default"/>
      </w:rPr>
    </w:lvl>
    <w:lvl w:ilvl="1" w:tplc="7D7465BA" w:tentative="1">
      <w:start w:val="1"/>
      <w:numFmt w:val="bullet"/>
      <w:lvlText w:val="o"/>
      <w:lvlJc w:val="left"/>
      <w:pPr>
        <w:ind w:left="1440" w:hanging="360"/>
      </w:pPr>
      <w:rPr>
        <w:rFonts w:ascii="Courier New" w:hAnsi="Courier New" w:cs="Courier New" w:hint="default"/>
      </w:rPr>
    </w:lvl>
    <w:lvl w:ilvl="2" w:tplc="1C2E9852" w:tentative="1">
      <w:start w:val="1"/>
      <w:numFmt w:val="bullet"/>
      <w:lvlText w:val=""/>
      <w:lvlJc w:val="left"/>
      <w:pPr>
        <w:ind w:left="2160" w:hanging="360"/>
      </w:pPr>
      <w:rPr>
        <w:rFonts w:ascii="Wingdings" w:hAnsi="Wingdings" w:hint="default"/>
      </w:rPr>
    </w:lvl>
    <w:lvl w:ilvl="3" w:tplc="056A0AF6" w:tentative="1">
      <w:start w:val="1"/>
      <w:numFmt w:val="bullet"/>
      <w:lvlText w:val=""/>
      <w:lvlJc w:val="left"/>
      <w:pPr>
        <w:ind w:left="2880" w:hanging="360"/>
      </w:pPr>
      <w:rPr>
        <w:rFonts w:ascii="Symbol" w:hAnsi="Symbol" w:hint="default"/>
      </w:rPr>
    </w:lvl>
    <w:lvl w:ilvl="4" w:tplc="F3AE0852" w:tentative="1">
      <w:start w:val="1"/>
      <w:numFmt w:val="bullet"/>
      <w:lvlText w:val="o"/>
      <w:lvlJc w:val="left"/>
      <w:pPr>
        <w:ind w:left="3600" w:hanging="360"/>
      </w:pPr>
      <w:rPr>
        <w:rFonts w:ascii="Courier New" w:hAnsi="Courier New" w:cs="Courier New" w:hint="default"/>
      </w:rPr>
    </w:lvl>
    <w:lvl w:ilvl="5" w:tplc="99EECB02" w:tentative="1">
      <w:start w:val="1"/>
      <w:numFmt w:val="bullet"/>
      <w:lvlText w:val=""/>
      <w:lvlJc w:val="left"/>
      <w:pPr>
        <w:ind w:left="4320" w:hanging="360"/>
      </w:pPr>
      <w:rPr>
        <w:rFonts w:ascii="Wingdings" w:hAnsi="Wingdings" w:hint="default"/>
      </w:rPr>
    </w:lvl>
    <w:lvl w:ilvl="6" w:tplc="C38676E4" w:tentative="1">
      <w:start w:val="1"/>
      <w:numFmt w:val="bullet"/>
      <w:lvlText w:val=""/>
      <w:lvlJc w:val="left"/>
      <w:pPr>
        <w:ind w:left="5040" w:hanging="360"/>
      </w:pPr>
      <w:rPr>
        <w:rFonts w:ascii="Symbol" w:hAnsi="Symbol" w:hint="default"/>
      </w:rPr>
    </w:lvl>
    <w:lvl w:ilvl="7" w:tplc="9AFC3288" w:tentative="1">
      <w:start w:val="1"/>
      <w:numFmt w:val="bullet"/>
      <w:lvlText w:val="o"/>
      <w:lvlJc w:val="left"/>
      <w:pPr>
        <w:ind w:left="5760" w:hanging="360"/>
      </w:pPr>
      <w:rPr>
        <w:rFonts w:ascii="Courier New" w:hAnsi="Courier New" w:cs="Courier New" w:hint="default"/>
      </w:rPr>
    </w:lvl>
    <w:lvl w:ilvl="8" w:tplc="1714D222" w:tentative="1">
      <w:start w:val="1"/>
      <w:numFmt w:val="bullet"/>
      <w:lvlText w:val=""/>
      <w:lvlJc w:val="left"/>
      <w:pPr>
        <w:ind w:left="6480" w:hanging="360"/>
      </w:pPr>
      <w:rPr>
        <w:rFonts w:ascii="Wingdings" w:hAnsi="Wingdings" w:hint="default"/>
      </w:rPr>
    </w:lvl>
  </w:abstractNum>
  <w:abstractNum w:abstractNumId="15" w15:restartNumberingAfterBreak="0">
    <w:nsid w:val="0D227F4F"/>
    <w:multiLevelType w:val="hybridMultilevel"/>
    <w:tmpl w:val="BF24756A"/>
    <w:lvl w:ilvl="0" w:tplc="EF6E0530">
      <w:start w:val="1"/>
      <w:numFmt w:val="bullet"/>
      <w:lvlText w:val=""/>
      <w:lvlJc w:val="left"/>
      <w:pPr>
        <w:ind w:left="720" w:hanging="360"/>
      </w:pPr>
      <w:rPr>
        <w:rFonts w:ascii="Symbol" w:hAnsi="Symbol" w:hint="default"/>
      </w:rPr>
    </w:lvl>
    <w:lvl w:ilvl="1" w:tplc="7F5C74B8" w:tentative="1">
      <w:start w:val="1"/>
      <w:numFmt w:val="bullet"/>
      <w:lvlText w:val="o"/>
      <w:lvlJc w:val="left"/>
      <w:pPr>
        <w:ind w:left="1440" w:hanging="360"/>
      </w:pPr>
      <w:rPr>
        <w:rFonts w:ascii="Courier New" w:hAnsi="Courier New" w:cs="Courier New" w:hint="default"/>
      </w:rPr>
    </w:lvl>
    <w:lvl w:ilvl="2" w:tplc="429493EC" w:tentative="1">
      <w:start w:val="1"/>
      <w:numFmt w:val="bullet"/>
      <w:lvlText w:val=""/>
      <w:lvlJc w:val="left"/>
      <w:pPr>
        <w:ind w:left="2160" w:hanging="360"/>
      </w:pPr>
      <w:rPr>
        <w:rFonts w:ascii="Wingdings" w:hAnsi="Wingdings" w:hint="default"/>
      </w:rPr>
    </w:lvl>
    <w:lvl w:ilvl="3" w:tplc="2BB882EA" w:tentative="1">
      <w:start w:val="1"/>
      <w:numFmt w:val="bullet"/>
      <w:lvlText w:val=""/>
      <w:lvlJc w:val="left"/>
      <w:pPr>
        <w:ind w:left="2880" w:hanging="360"/>
      </w:pPr>
      <w:rPr>
        <w:rFonts w:ascii="Symbol" w:hAnsi="Symbol" w:hint="default"/>
      </w:rPr>
    </w:lvl>
    <w:lvl w:ilvl="4" w:tplc="D3D657A2" w:tentative="1">
      <w:start w:val="1"/>
      <w:numFmt w:val="bullet"/>
      <w:lvlText w:val="o"/>
      <w:lvlJc w:val="left"/>
      <w:pPr>
        <w:ind w:left="3600" w:hanging="360"/>
      </w:pPr>
      <w:rPr>
        <w:rFonts w:ascii="Courier New" w:hAnsi="Courier New" w:cs="Courier New" w:hint="default"/>
      </w:rPr>
    </w:lvl>
    <w:lvl w:ilvl="5" w:tplc="69BEFA4E" w:tentative="1">
      <w:start w:val="1"/>
      <w:numFmt w:val="bullet"/>
      <w:lvlText w:val=""/>
      <w:lvlJc w:val="left"/>
      <w:pPr>
        <w:ind w:left="4320" w:hanging="360"/>
      </w:pPr>
      <w:rPr>
        <w:rFonts w:ascii="Wingdings" w:hAnsi="Wingdings" w:hint="default"/>
      </w:rPr>
    </w:lvl>
    <w:lvl w:ilvl="6" w:tplc="26723BF6" w:tentative="1">
      <w:start w:val="1"/>
      <w:numFmt w:val="bullet"/>
      <w:lvlText w:val=""/>
      <w:lvlJc w:val="left"/>
      <w:pPr>
        <w:ind w:left="5040" w:hanging="360"/>
      </w:pPr>
      <w:rPr>
        <w:rFonts w:ascii="Symbol" w:hAnsi="Symbol" w:hint="default"/>
      </w:rPr>
    </w:lvl>
    <w:lvl w:ilvl="7" w:tplc="CD1AE2D6" w:tentative="1">
      <w:start w:val="1"/>
      <w:numFmt w:val="bullet"/>
      <w:lvlText w:val="o"/>
      <w:lvlJc w:val="left"/>
      <w:pPr>
        <w:ind w:left="5760" w:hanging="360"/>
      </w:pPr>
      <w:rPr>
        <w:rFonts w:ascii="Courier New" w:hAnsi="Courier New" w:cs="Courier New" w:hint="default"/>
      </w:rPr>
    </w:lvl>
    <w:lvl w:ilvl="8" w:tplc="B1E2C9C8" w:tentative="1">
      <w:start w:val="1"/>
      <w:numFmt w:val="bullet"/>
      <w:lvlText w:val=""/>
      <w:lvlJc w:val="left"/>
      <w:pPr>
        <w:ind w:left="6480" w:hanging="360"/>
      </w:pPr>
      <w:rPr>
        <w:rFonts w:ascii="Wingdings" w:hAnsi="Wingdings" w:hint="default"/>
      </w:rPr>
    </w:lvl>
  </w:abstractNum>
  <w:abstractNum w:abstractNumId="16" w15:restartNumberingAfterBreak="0">
    <w:nsid w:val="0DF77E76"/>
    <w:multiLevelType w:val="hybridMultilevel"/>
    <w:tmpl w:val="BA84FC42"/>
    <w:lvl w:ilvl="0" w:tplc="1918F316">
      <w:numFmt w:val="bullet"/>
      <w:lvlText w:val="-"/>
      <w:lvlJc w:val="left"/>
      <w:pPr>
        <w:ind w:left="720" w:hanging="360"/>
      </w:pPr>
      <w:rPr>
        <w:rFonts w:ascii="Times New Roman" w:eastAsia="Calibri" w:hAnsi="Times New Roman" w:cs="Times New Roman" w:hint="default"/>
      </w:rPr>
    </w:lvl>
    <w:lvl w:ilvl="1" w:tplc="2788070E">
      <w:start w:val="1"/>
      <w:numFmt w:val="bullet"/>
      <w:lvlText w:val="o"/>
      <w:lvlJc w:val="left"/>
      <w:pPr>
        <w:ind w:left="1440" w:hanging="360"/>
      </w:pPr>
      <w:rPr>
        <w:rFonts w:ascii="Courier New" w:hAnsi="Courier New" w:cs="Courier New" w:hint="default"/>
      </w:rPr>
    </w:lvl>
    <w:lvl w:ilvl="2" w:tplc="1C8C9582" w:tentative="1">
      <w:start w:val="1"/>
      <w:numFmt w:val="bullet"/>
      <w:lvlText w:val=""/>
      <w:lvlJc w:val="left"/>
      <w:pPr>
        <w:ind w:left="2160" w:hanging="360"/>
      </w:pPr>
      <w:rPr>
        <w:rFonts w:ascii="Wingdings" w:hAnsi="Wingdings" w:hint="default"/>
      </w:rPr>
    </w:lvl>
    <w:lvl w:ilvl="3" w:tplc="146CD90A" w:tentative="1">
      <w:start w:val="1"/>
      <w:numFmt w:val="bullet"/>
      <w:lvlText w:val=""/>
      <w:lvlJc w:val="left"/>
      <w:pPr>
        <w:ind w:left="2880" w:hanging="360"/>
      </w:pPr>
      <w:rPr>
        <w:rFonts w:ascii="Symbol" w:hAnsi="Symbol" w:hint="default"/>
      </w:rPr>
    </w:lvl>
    <w:lvl w:ilvl="4" w:tplc="FD5E8A26" w:tentative="1">
      <w:start w:val="1"/>
      <w:numFmt w:val="bullet"/>
      <w:lvlText w:val="o"/>
      <w:lvlJc w:val="left"/>
      <w:pPr>
        <w:ind w:left="3600" w:hanging="360"/>
      </w:pPr>
      <w:rPr>
        <w:rFonts w:ascii="Courier New" w:hAnsi="Courier New" w:cs="Courier New" w:hint="default"/>
      </w:rPr>
    </w:lvl>
    <w:lvl w:ilvl="5" w:tplc="473ACC72" w:tentative="1">
      <w:start w:val="1"/>
      <w:numFmt w:val="bullet"/>
      <w:lvlText w:val=""/>
      <w:lvlJc w:val="left"/>
      <w:pPr>
        <w:ind w:left="4320" w:hanging="360"/>
      </w:pPr>
      <w:rPr>
        <w:rFonts w:ascii="Wingdings" w:hAnsi="Wingdings" w:hint="default"/>
      </w:rPr>
    </w:lvl>
    <w:lvl w:ilvl="6" w:tplc="E8BC3528" w:tentative="1">
      <w:start w:val="1"/>
      <w:numFmt w:val="bullet"/>
      <w:lvlText w:val=""/>
      <w:lvlJc w:val="left"/>
      <w:pPr>
        <w:ind w:left="5040" w:hanging="360"/>
      </w:pPr>
      <w:rPr>
        <w:rFonts w:ascii="Symbol" w:hAnsi="Symbol" w:hint="default"/>
      </w:rPr>
    </w:lvl>
    <w:lvl w:ilvl="7" w:tplc="8B06EFF4" w:tentative="1">
      <w:start w:val="1"/>
      <w:numFmt w:val="bullet"/>
      <w:lvlText w:val="o"/>
      <w:lvlJc w:val="left"/>
      <w:pPr>
        <w:ind w:left="5760" w:hanging="360"/>
      </w:pPr>
      <w:rPr>
        <w:rFonts w:ascii="Courier New" w:hAnsi="Courier New" w:cs="Courier New" w:hint="default"/>
      </w:rPr>
    </w:lvl>
    <w:lvl w:ilvl="8" w:tplc="07AA8208" w:tentative="1">
      <w:start w:val="1"/>
      <w:numFmt w:val="bullet"/>
      <w:lvlText w:val=""/>
      <w:lvlJc w:val="left"/>
      <w:pPr>
        <w:ind w:left="6480" w:hanging="360"/>
      </w:pPr>
      <w:rPr>
        <w:rFonts w:ascii="Wingdings" w:hAnsi="Wingdings" w:hint="default"/>
      </w:rPr>
    </w:lvl>
  </w:abstractNum>
  <w:abstractNum w:abstractNumId="17" w15:restartNumberingAfterBreak="0">
    <w:nsid w:val="2EC756A9"/>
    <w:multiLevelType w:val="hybridMultilevel"/>
    <w:tmpl w:val="C188F65A"/>
    <w:lvl w:ilvl="0" w:tplc="95265596">
      <w:numFmt w:val="bullet"/>
      <w:lvlText w:val="-"/>
      <w:lvlJc w:val="left"/>
      <w:pPr>
        <w:ind w:left="720" w:hanging="360"/>
      </w:pPr>
      <w:rPr>
        <w:rFonts w:ascii="Times New Roman" w:eastAsia="Calibri" w:hAnsi="Times New Roman" w:cs="Times New Roman" w:hint="default"/>
      </w:rPr>
    </w:lvl>
    <w:lvl w:ilvl="1" w:tplc="CE16D372" w:tentative="1">
      <w:start w:val="1"/>
      <w:numFmt w:val="bullet"/>
      <w:lvlText w:val="o"/>
      <w:lvlJc w:val="left"/>
      <w:pPr>
        <w:ind w:left="1440" w:hanging="360"/>
      </w:pPr>
      <w:rPr>
        <w:rFonts w:ascii="Courier New" w:hAnsi="Courier New" w:cs="Courier New" w:hint="default"/>
      </w:rPr>
    </w:lvl>
    <w:lvl w:ilvl="2" w:tplc="45763008" w:tentative="1">
      <w:start w:val="1"/>
      <w:numFmt w:val="bullet"/>
      <w:lvlText w:val=""/>
      <w:lvlJc w:val="left"/>
      <w:pPr>
        <w:ind w:left="2160" w:hanging="360"/>
      </w:pPr>
      <w:rPr>
        <w:rFonts w:ascii="Wingdings" w:hAnsi="Wingdings" w:hint="default"/>
      </w:rPr>
    </w:lvl>
    <w:lvl w:ilvl="3" w:tplc="1592C3E4" w:tentative="1">
      <w:start w:val="1"/>
      <w:numFmt w:val="bullet"/>
      <w:lvlText w:val=""/>
      <w:lvlJc w:val="left"/>
      <w:pPr>
        <w:ind w:left="2880" w:hanging="360"/>
      </w:pPr>
      <w:rPr>
        <w:rFonts w:ascii="Symbol" w:hAnsi="Symbol" w:hint="default"/>
      </w:rPr>
    </w:lvl>
    <w:lvl w:ilvl="4" w:tplc="AF6EA712" w:tentative="1">
      <w:start w:val="1"/>
      <w:numFmt w:val="bullet"/>
      <w:lvlText w:val="o"/>
      <w:lvlJc w:val="left"/>
      <w:pPr>
        <w:ind w:left="3600" w:hanging="360"/>
      </w:pPr>
      <w:rPr>
        <w:rFonts w:ascii="Courier New" w:hAnsi="Courier New" w:cs="Courier New" w:hint="default"/>
      </w:rPr>
    </w:lvl>
    <w:lvl w:ilvl="5" w:tplc="038C6D1A" w:tentative="1">
      <w:start w:val="1"/>
      <w:numFmt w:val="bullet"/>
      <w:lvlText w:val=""/>
      <w:lvlJc w:val="left"/>
      <w:pPr>
        <w:ind w:left="4320" w:hanging="360"/>
      </w:pPr>
      <w:rPr>
        <w:rFonts w:ascii="Wingdings" w:hAnsi="Wingdings" w:hint="default"/>
      </w:rPr>
    </w:lvl>
    <w:lvl w:ilvl="6" w:tplc="141605EA" w:tentative="1">
      <w:start w:val="1"/>
      <w:numFmt w:val="bullet"/>
      <w:lvlText w:val=""/>
      <w:lvlJc w:val="left"/>
      <w:pPr>
        <w:ind w:left="5040" w:hanging="360"/>
      </w:pPr>
      <w:rPr>
        <w:rFonts w:ascii="Symbol" w:hAnsi="Symbol" w:hint="default"/>
      </w:rPr>
    </w:lvl>
    <w:lvl w:ilvl="7" w:tplc="3A46DD94" w:tentative="1">
      <w:start w:val="1"/>
      <w:numFmt w:val="bullet"/>
      <w:lvlText w:val="o"/>
      <w:lvlJc w:val="left"/>
      <w:pPr>
        <w:ind w:left="5760" w:hanging="360"/>
      </w:pPr>
      <w:rPr>
        <w:rFonts w:ascii="Courier New" w:hAnsi="Courier New" w:cs="Courier New" w:hint="default"/>
      </w:rPr>
    </w:lvl>
    <w:lvl w:ilvl="8" w:tplc="23583400" w:tentative="1">
      <w:start w:val="1"/>
      <w:numFmt w:val="bullet"/>
      <w:lvlText w:val=""/>
      <w:lvlJc w:val="left"/>
      <w:pPr>
        <w:ind w:left="6480" w:hanging="360"/>
      </w:pPr>
      <w:rPr>
        <w:rFonts w:ascii="Wingdings" w:hAnsi="Wingdings" w:hint="default"/>
      </w:rPr>
    </w:lvl>
  </w:abstractNum>
  <w:abstractNum w:abstractNumId="18" w15:restartNumberingAfterBreak="0">
    <w:nsid w:val="39746711"/>
    <w:multiLevelType w:val="hybridMultilevel"/>
    <w:tmpl w:val="718C988E"/>
    <w:lvl w:ilvl="0" w:tplc="0E0A0CA4">
      <w:numFmt w:val="bullet"/>
      <w:lvlText w:val="-"/>
      <w:lvlJc w:val="left"/>
      <w:pPr>
        <w:ind w:left="360" w:hanging="360"/>
      </w:pPr>
      <w:rPr>
        <w:rFonts w:ascii="Times New Roman" w:eastAsia="Calibri" w:hAnsi="Times New Roman" w:cs="Times New Roman" w:hint="default"/>
      </w:rPr>
    </w:lvl>
    <w:lvl w:ilvl="1" w:tplc="30407B2E" w:tentative="1">
      <w:start w:val="1"/>
      <w:numFmt w:val="bullet"/>
      <w:lvlText w:val="o"/>
      <w:lvlJc w:val="left"/>
      <w:pPr>
        <w:ind w:left="1080" w:hanging="360"/>
      </w:pPr>
      <w:rPr>
        <w:rFonts w:ascii="Courier New" w:hAnsi="Courier New" w:cs="Courier New" w:hint="default"/>
      </w:rPr>
    </w:lvl>
    <w:lvl w:ilvl="2" w:tplc="F5F0BBB0" w:tentative="1">
      <w:start w:val="1"/>
      <w:numFmt w:val="bullet"/>
      <w:lvlText w:val=""/>
      <w:lvlJc w:val="left"/>
      <w:pPr>
        <w:ind w:left="1800" w:hanging="360"/>
      </w:pPr>
      <w:rPr>
        <w:rFonts w:ascii="Wingdings" w:hAnsi="Wingdings" w:hint="default"/>
      </w:rPr>
    </w:lvl>
    <w:lvl w:ilvl="3" w:tplc="EF509A76" w:tentative="1">
      <w:start w:val="1"/>
      <w:numFmt w:val="bullet"/>
      <w:lvlText w:val=""/>
      <w:lvlJc w:val="left"/>
      <w:pPr>
        <w:ind w:left="2520" w:hanging="360"/>
      </w:pPr>
      <w:rPr>
        <w:rFonts w:ascii="Symbol" w:hAnsi="Symbol" w:hint="default"/>
      </w:rPr>
    </w:lvl>
    <w:lvl w:ilvl="4" w:tplc="4ED6D374" w:tentative="1">
      <w:start w:val="1"/>
      <w:numFmt w:val="bullet"/>
      <w:lvlText w:val="o"/>
      <w:lvlJc w:val="left"/>
      <w:pPr>
        <w:ind w:left="3240" w:hanging="360"/>
      </w:pPr>
      <w:rPr>
        <w:rFonts w:ascii="Courier New" w:hAnsi="Courier New" w:cs="Courier New" w:hint="default"/>
      </w:rPr>
    </w:lvl>
    <w:lvl w:ilvl="5" w:tplc="88F0F906" w:tentative="1">
      <w:start w:val="1"/>
      <w:numFmt w:val="bullet"/>
      <w:lvlText w:val=""/>
      <w:lvlJc w:val="left"/>
      <w:pPr>
        <w:ind w:left="3960" w:hanging="360"/>
      </w:pPr>
      <w:rPr>
        <w:rFonts w:ascii="Wingdings" w:hAnsi="Wingdings" w:hint="default"/>
      </w:rPr>
    </w:lvl>
    <w:lvl w:ilvl="6" w:tplc="F56CC0C6" w:tentative="1">
      <w:start w:val="1"/>
      <w:numFmt w:val="bullet"/>
      <w:lvlText w:val=""/>
      <w:lvlJc w:val="left"/>
      <w:pPr>
        <w:ind w:left="4680" w:hanging="360"/>
      </w:pPr>
      <w:rPr>
        <w:rFonts w:ascii="Symbol" w:hAnsi="Symbol" w:hint="default"/>
      </w:rPr>
    </w:lvl>
    <w:lvl w:ilvl="7" w:tplc="DD26B05C" w:tentative="1">
      <w:start w:val="1"/>
      <w:numFmt w:val="bullet"/>
      <w:lvlText w:val="o"/>
      <w:lvlJc w:val="left"/>
      <w:pPr>
        <w:ind w:left="5400" w:hanging="360"/>
      </w:pPr>
      <w:rPr>
        <w:rFonts w:ascii="Courier New" w:hAnsi="Courier New" w:cs="Courier New" w:hint="default"/>
      </w:rPr>
    </w:lvl>
    <w:lvl w:ilvl="8" w:tplc="46EAD2A2" w:tentative="1">
      <w:start w:val="1"/>
      <w:numFmt w:val="bullet"/>
      <w:lvlText w:val=""/>
      <w:lvlJc w:val="left"/>
      <w:pPr>
        <w:ind w:left="6120" w:hanging="360"/>
      </w:pPr>
      <w:rPr>
        <w:rFonts w:ascii="Wingdings" w:hAnsi="Wingdings" w:hint="default"/>
      </w:rPr>
    </w:lvl>
  </w:abstractNum>
  <w:abstractNum w:abstractNumId="19" w15:restartNumberingAfterBreak="0">
    <w:nsid w:val="48CE5559"/>
    <w:multiLevelType w:val="hybridMultilevel"/>
    <w:tmpl w:val="1024B8F6"/>
    <w:lvl w:ilvl="0" w:tplc="B5C83D8E">
      <w:numFmt w:val="bullet"/>
      <w:lvlText w:val="-"/>
      <w:lvlJc w:val="left"/>
      <w:pPr>
        <w:ind w:left="720" w:hanging="360"/>
      </w:pPr>
      <w:rPr>
        <w:rFonts w:ascii="Times New Roman" w:eastAsia="Calibri" w:hAnsi="Times New Roman" w:cs="Times New Roman" w:hint="default"/>
      </w:rPr>
    </w:lvl>
    <w:lvl w:ilvl="1" w:tplc="F9EEE79C" w:tentative="1">
      <w:start w:val="1"/>
      <w:numFmt w:val="bullet"/>
      <w:lvlText w:val="o"/>
      <w:lvlJc w:val="left"/>
      <w:pPr>
        <w:ind w:left="1440" w:hanging="360"/>
      </w:pPr>
      <w:rPr>
        <w:rFonts w:ascii="Courier New" w:hAnsi="Courier New" w:cs="Courier New" w:hint="default"/>
      </w:rPr>
    </w:lvl>
    <w:lvl w:ilvl="2" w:tplc="FC4EE396" w:tentative="1">
      <w:start w:val="1"/>
      <w:numFmt w:val="bullet"/>
      <w:lvlText w:val=""/>
      <w:lvlJc w:val="left"/>
      <w:pPr>
        <w:ind w:left="2160" w:hanging="360"/>
      </w:pPr>
      <w:rPr>
        <w:rFonts w:ascii="Wingdings" w:hAnsi="Wingdings" w:hint="default"/>
      </w:rPr>
    </w:lvl>
    <w:lvl w:ilvl="3" w:tplc="78B2D6B4" w:tentative="1">
      <w:start w:val="1"/>
      <w:numFmt w:val="bullet"/>
      <w:lvlText w:val=""/>
      <w:lvlJc w:val="left"/>
      <w:pPr>
        <w:ind w:left="2880" w:hanging="360"/>
      </w:pPr>
      <w:rPr>
        <w:rFonts w:ascii="Symbol" w:hAnsi="Symbol" w:hint="default"/>
      </w:rPr>
    </w:lvl>
    <w:lvl w:ilvl="4" w:tplc="5F9C42A6" w:tentative="1">
      <w:start w:val="1"/>
      <w:numFmt w:val="bullet"/>
      <w:lvlText w:val="o"/>
      <w:lvlJc w:val="left"/>
      <w:pPr>
        <w:ind w:left="3600" w:hanging="360"/>
      </w:pPr>
      <w:rPr>
        <w:rFonts w:ascii="Courier New" w:hAnsi="Courier New" w:cs="Courier New" w:hint="default"/>
      </w:rPr>
    </w:lvl>
    <w:lvl w:ilvl="5" w:tplc="46849180" w:tentative="1">
      <w:start w:val="1"/>
      <w:numFmt w:val="bullet"/>
      <w:lvlText w:val=""/>
      <w:lvlJc w:val="left"/>
      <w:pPr>
        <w:ind w:left="4320" w:hanging="360"/>
      </w:pPr>
      <w:rPr>
        <w:rFonts w:ascii="Wingdings" w:hAnsi="Wingdings" w:hint="default"/>
      </w:rPr>
    </w:lvl>
    <w:lvl w:ilvl="6" w:tplc="439C3DBC" w:tentative="1">
      <w:start w:val="1"/>
      <w:numFmt w:val="bullet"/>
      <w:lvlText w:val=""/>
      <w:lvlJc w:val="left"/>
      <w:pPr>
        <w:ind w:left="5040" w:hanging="360"/>
      </w:pPr>
      <w:rPr>
        <w:rFonts w:ascii="Symbol" w:hAnsi="Symbol" w:hint="default"/>
      </w:rPr>
    </w:lvl>
    <w:lvl w:ilvl="7" w:tplc="B8E487BE" w:tentative="1">
      <w:start w:val="1"/>
      <w:numFmt w:val="bullet"/>
      <w:lvlText w:val="o"/>
      <w:lvlJc w:val="left"/>
      <w:pPr>
        <w:ind w:left="5760" w:hanging="360"/>
      </w:pPr>
      <w:rPr>
        <w:rFonts w:ascii="Courier New" w:hAnsi="Courier New" w:cs="Courier New" w:hint="default"/>
      </w:rPr>
    </w:lvl>
    <w:lvl w:ilvl="8" w:tplc="06649E4A" w:tentative="1">
      <w:start w:val="1"/>
      <w:numFmt w:val="bullet"/>
      <w:lvlText w:val=""/>
      <w:lvlJc w:val="left"/>
      <w:pPr>
        <w:ind w:left="6480" w:hanging="360"/>
      </w:pPr>
      <w:rPr>
        <w:rFonts w:ascii="Wingdings" w:hAnsi="Wingdings" w:hint="default"/>
      </w:rPr>
    </w:lvl>
  </w:abstractNum>
  <w:abstractNum w:abstractNumId="20" w15:restartNumberingAfterBreak="0">
    <w:nsid w:val="49AB6297"/>
    <w:multiLevelType w:val="hybridMultilevel"/>
    <w:tmpl w:val="9B72FB0E"/>
    <w:lvl w:ilvl="0" w:tplc="A224A82A">
      <w:start w:val="8"/>
      <w:numFmt w:val="bullet"/>
      <w:lvlText w:val="-"/>
      <w:lvlJc w:val="left"/>
      <w:pPr>
        <w:ind w:left="2685" w:hanging="360"/>
      </w:pPr>
      <w:rPr>
        <w:rFonts w:ascii="Times New Roman" w:eastAsia="Times New Roman" w:hAnsi="Times New Roman" w:cs="Times New Roman" w:hint="default"/>
      </w:rPr>
    </w:lvl>
    <w:lvl w:ilvl="1" w:tplc="E7AAFC5A" w:tentative="1">
      <w:start w:val="1"/>
      <w:numFmt w:val="bullet"/>
      <w:lvlText w:val="o"/>
      <w:lvlJc w:val="left"/>
      <w:pPr>
        <w:ind w:left="3405" w:hanging="360"/>
      </w:pPr>
      <w:rPr>
        <w:rFonts w:ascii="Courier New" w:hAnsi="Courier New" w:cs="Courier New" w:hint="default"/>
      </w:rPr>
    </w:lvl>
    <w:lvl w:ilvl="2" w:tplc="BFB063E2" w:tentative="1">
      <w:start w:val="1"/>
      <w:numFmt w:val="bullet"/>
      <w:lvlText w:val=""/>
      <w:lvlJc w:val="left"/>
      <w:pPr>
        <w:ind w:left="4125" w:hanging="360"/>
      </w:pPr>
      <w:rPr>
        <w:rFonts w:ascii="Wingdings" w:hAnsi="Wingdings" w:hint="default"/>
      </w:rPr>
    </w:lvl>
    <w:lvl w:ilvl="3" w:tplc="6A3E3D26" w:tentative="1">
      <w:start w:val="1"/>
      <w:numFmt w:val="bullet"/>
      <w:lvlText w:val=""/>
      <w:lvlJc w:val="left"/>
      <w:pPr>
        <w:ind w:left="4845" w:hanging="360"/>
      </w:pPr>
      <w:rPr>
        <w:rFonts w:ascii="Symbol" w:hAnsi="Symbol" w:hint="default"/>
      </w:rPr>
    </w:lvl>
    <w:lvl w:ilvl="4" w:tplc="6C101B86" w:tentative="1">
      <w:start w:val="1"/>
      <w:numFmt w:val="bullet"/>
      <w:lvlText w:val="o"/>
      <w:lvlJc w:val="left"/>
      <w:pPr>
        <w:ind w:left="5565" w:hanging="360"/>
      </w:pPr>
      <w:rPr>
        <w:rFonts w:ascii="Courier New" w:hAnsi="Courier New" w:cs="Courier New" w:hint="default"/>
      </w:rPr>
    </w:lvl>
    <w:lvl w:ilvl="5" w:tplc="44409F92" w:tentative="1">
      <w:start w:val="1"/>
      <w:numFmt w:val="bullet"/>
      <w:lvlText w:val=""/>
      <w:lvlJc w:val="left"/>
      <w:pPr>
        <w:ind w:left="6285" w:hanging="360"/>
      </w:pPr>
      <w:rPr>
        <w:rFonts w:ascii="Wingdings" w:hAnsi="Wingdings" w:hint="default"/>
      </w:rPr>
    </w:lvl>
    <w:lvl w:ilvl="6" w:tplc="50DA4144" w:tentative="1">
      <w:start w:val="1"/>
      <w:numFmt w:val="bullet"/>
      <w:lvlText w:val=""/>
      <w:lvlJc w:val="left"/>
      <w:pPr>
        <w:ind w:left="7005" w:hanging="360"/>
      </w:pPr>
      <w:rPr>
        <w:rFonts w:ascii="Symbol" w:hAnsi="Symbol" w:hint="default"/>
      </w:rPr>
    </w:lvl>
    <w:lvl w:ilvl="7" w:tplc="5F18B356" w:tentative="1">
      <w:start w:val="1"/>
      <w:numFmt w:val="bullet"/>
      <w:lvlText w:val="o"/>
      <w:lvlJc w:val="left"/>
      <w:pPr>
        <w:ind w:left="7725" w:hanging="360"/>
      </w:pPr>
      <w:rPr>
        <w:rFonts w:ascii="Courier New" w:hAnsi="Courier New" w:cs="Courier New" w:hint="default"/>
      </w:rPr>
    </w:lvl>
    <w:lvl w:ilvl="8" w:tplc="5CDCF08C" w:tentative="1">
      <w:start w:val="1"/>
      <w:numFmt w:val="bullet"/>
      <w:lvlText w:val=""/>
      <w:lvlJc w:val="left"/>
      <w:pPr>
        <w:ind w:left="8445" w:hanging="360"/>
      </w:pPr>
      <w:rPr>
        <w:rFonts w:ascii="Wingdings" w:hAnsi="Wingdings" w:hint="default"/>
      </w:rPr>
    </w:lvl>
  </w:abstractNum>
  <w:abstractNum w:abstractNumId="21" w15:restartNumberingAfterBreak="0">
    <w:nsid w:val="51AE4BE4"/>
    <w:multiLevelType w:val="hybridMultilevel"/>
    <w:tmpl w:val="429CE0CC"/>
    <w:lvl w:ilvl="0" w:tplc="BB72A36A">
      <w:start w:val="1"/>
      <w:numFmt w:val="bullet"/>
      <w:lvlText w:val=""/>
      <w:lvlJc w:val="left"/>
      <w:pPr>
        <w:ind w:left="720" w:hanging="360"/>
      </w:pPr>
      <w:rPr>
        <w:rFonts w:ascii="Symbol" w:hAnsi="Symbol" w:hint="default"/>
      </w:rPr>
    </w:lvl>
    <w:lvl w:ilvl="1" w:tplc="CD2CC1C2" w:tentative="1">
      <w:start w:val="1"/>
      <w:numFmt w:val="bullet"/>
      <w:lvlText w:val="o"/>
      <w:lvlJc w:val="left"/>
      <w:pPr>
        <w:ind w:left="1440" w:hanging="360"/>
      </w:pPr>
      <w:rPr>
        <w:rFonts w:ascii="Courier New" w:hAnsi="Courier New" w:cs="Courier New" w:hint="default"/>
      </w:rPr>
    </w:lvl>
    <w:lvl w:ilvl="2" w:tplc="B4B61A14" w:tentative="1">
      <w:start w:val="1"/>
      <w:numFmt w:val="bullet"/>
      <w:lvlText w:val=""/>
      <w:lvlJc w:val="left"/>
      <w:pPr>
        <w:ind w:left="2160" w:hanging="360"/>
      </w:pPr>
      <w:rPr>
        <w:rFonts w:ascii="Wingdings" w:hAnsi="Wingdings" w:hint="default"/>
      </w:rPr>
    </w:lvl>
    <w:lvl w:ilvl="3" w:tplc="E702F0FE" w:tentative="1">
      <w:start w:val="1"/>
      <w:numFmt w:val="bullet"/>
      <w:lvlText w:val=""/>
      <w:lvlJc w:val="left"/>
      <w:pPr>
        <w:ind w:left="2880" w:hanging="360"/>
      </w:pPr>
      <w:rPr>
        <w:rFonts w:ascii="Symbol" w:hAnsi="Symbol" w:hint="default"/>
      </w:rPr>
    </w:lvl>
    <w:lvl w:ilvl="4" w:tplc="EF88C2E6" w:tentative="1">
      <w:start w:val="1"/>
      <w:numFmt w:val="bullet"/>
      <w:lvlText w:val="o"/>
      <w:lvlJc w:val="left"/>
      <w:pPr>
        <w:ind w:left="3600" w:hanging="360"/>
      </w:pPr>
      <w:rPr>
        <w:rFonts w:ascii="Courier New" w:hAnsi="Courier New" w:cs="Courier New" w:hint="default"/>
      </w:rPr>
    </w:lvl>
    <w:lvl w:ilvl="5" w:tplc="923CA1FA" w:tentative="1">
      <w:start w:val="1"/>
      <w:numFmt w:val="bullet"/>
      <w:lvlText w:val=""/>
      <w:lvlJc w:val="left"/>
      <w:pPr>
        <w:ind w:left="4320" w:hanging="360"/>
      </w:pPr>
      <w:rPr>
        <w:rFonts w:ascii="Wingdings" w:hAnsi="Wingdings" w:hint="default"/>
      </w:rPr>
    </w:lvl>
    <w:lvl w:ilvl="6" w:tplc="69DA6A00" w:tentative="1">
      <w:start w:val="1"/>
      <w:numFmt w:val="bullet"/>
      <w:lvlText w:val=""/>
      <w:lvlJc w:val="left"/>
      <w:pPr>
        <w:ind w:left="5040" w:hanging="360"/>
      </w:pPr>
      <w:rPr>
        <w:rFonts w:ascii="Symbol" w:hAnsi="Symbol" w:hint="default"/>
      </w:rPr>
    </w:lvl>
    <w:lvl w:ilvl="7" w:tplc="F57C621A" w:tentative="1">
      <w:start w:val="1"/>
      <w:numFmt w:val="bullet"/>
      <w:lvlText w:val="o"/>
      <w:lvlJc w:val="left"/>
      <w:pPr>
        <w:ind w:left="5760" w:hanging="360"/>
      </w:pPr>
      <w:rPr>
        <w:rFonts w:ascii="Courier New" w:hAnsi="Courier New" w:cs="Courier New" w:hint="default"/>
      </w:rPr>
    </w:lvl>
    <w:lvl w:ilvl="8" w:tplc="0980D74C" w:tentative="1">
      <w:start w:val="1"/>
      <w:numFmt w:val="bullet"/>
      <w:lvlText w:val=""/>
      <w:lvlJc w:val="left"/>
      <w:pPr>
        <w:ind w:left="6480" w:hanging="360"/>
      </w:pPr>
      <w:rPr>
        <w:rFonts w:ascii="Wingdings" w:hAnsi="Wingdings" w:hint="default"/>
      </w:rPr>
    </w:lvl>
  </w:abstractNum>
  <w:abstractNum w:abstractNumId="22" w15:restartNumberingAfterBreak="0">
    <w:nsid w:val="54866660"/>
    <w:multiLevelType w:val="hybridMultilevel"/>
    <w:tmpl w:val="25BA95B6"/>
    <w:lvl w:ilvl="0" w:tplc="C0E81E08">
      <w:start w:val="1"/>
      <w:numFmt w:val="bullet"/>
      <w:lvlText w:val=""/>
      <w:lvlJc w:val="left"/>
      <w:pPr>
        <w:ind w:left="502" w:hanging="360"/>
      </w:pPr>
      <w:rPr>
        <w:rFonts w:ascii="Symbol" w:hAnsi="Symbol" w:hint="default"/>
        <w:b w:val="0"/>
        <w:color w:val="auto"/>
      </w:rPr>
    </w:lvl>
    <w:lvl w:ilvl="1" w:tplc="6116EFDE" w:tentative="1">
      <w:start w:val="1"/>
      <w:numFmt w:val="bullet"/>
      <w:lvlText w:val="o"/>
      <w:lvlJc w:val="left"/>
      <w:pPr>
        <w:ind w:left="1440" w:hanging="360"/>
      </w:pPr>
      <w:rPr>
        <w:rFonts w:ascii="Courier New" w:hAnsi="Courier New" w:cs="Courier New" w:hint="default"/>
      </w:rPr>
    </w:lvl>
    <w:lvl w:ilvl="2" w:tplc="CF325F1A" w:tentative="1">
      <w:start w:val="1"/>
      <w:numFmt w:val="bullet"/>
      <w:lvlText w:val=""/>
      <w:lvlJc w:val="left"/>
      <w:pPr>
        <w:ind w:left="2160" w:hanging="360"/>
      </w:pPr>
      <w:rPr>
        <w:rFonts w:ascii="Wingdings" w:hAnsi="Wingdings" w:hint="default"/>
      </w:rPr>
    </w:lvl>
    <w:lvl w:ilvl="3" w:tplc="DA0C92FC" w:tentative="1">
      <w:start w:val="1"/>
      <w:numFmt w:val="bullet"/>
      <w:lvlText w:val=""/>
      <w:lvlJc w:val="left"/>
      <w:pPr>
        <w:ind w:left="2880" w:hanging="360"/>
      </w:pPr>
      <w:rPr>
        <w:rFonts w:ascii="Symbol" w:hAnsi="Symbol" w:hint="default"/>
      </w:rPr>
    </w:lvl>
    <w:lvl w:ilvl="4" w:tplc="4B14BC64" w:tentative="1">
      <w:start w:val="1"/>
      <w:numFmt w:val="bullet"/>
      <w:lvlText w:val="o"/>
      <w:lvlJc w:val="left"/>
      <w:pPr>
        <w:ind w:left="3600" w:hanging="360"/>
      </w:pPr>
      <w:rPr>
        <w:rFonts w:ascii="Courier New" w:hAnsi="Courier New" w:cs="Courier New" w:hint="default"/>
      </w:rPr>
    </w:lvl>
    <w:lvl w:ilvl="5" w:tplc="EF00562C" w:tentative="1">
      <w:start w:val="1"/>
      <w:numFmt w:val="bullet"/>
      <w:lvlText w:val=""/>
      <w:lvlJc w:val="left"/>
      <w:pPr>
        <w:ind w:left="4320" w:hanging="360"/>
      </w:pPr>
      <w:rPr>
        <w:rFonts w:ascii="Wingdings" w:hAnsi="Wingdings" w:hint="default"/>
      </w:rPr>
    </w:lvl>
    <w:lvl w:ilvl="6" w:tplc="59C41448" w:tentative="1">
      <w:start w:val="1"/>
      <w:numFmt w:val="bullet"/>
      <w:lvlText w:val=""/>
      <w:lvlJc w:val="left"/>
      <w:pPr>
        <w:ind w:left="5040" w:hanging="360"/>
      </w:pPr>
      <w:rPr>
        <w:rFonts w:ascii="Symbol" w:hAnsi="Symbol" w:hint="default"/>
      </w:rPr>
    </w:lvl>
    <w:lvl w:ilvl="7" w:tplc="72104D9C" w:tentative="1">
      <w:start w:val="1"/>
      <w:numFmt w:val="bullet"/>
      <w:lvlText w:val="o"/>
      <w:lvlJc w:val="left"/>
      <w:pPr>
        <w:ind w:left="5760" w:hanging="360"/>
      </w:pPr>
      <w:rPr>
        <w:rFonts w:ascii="Courier New" w:hAnsi="Courier New" w:cs="Courier New" w:hint="default"/>
      </w:rPr>
    </w:lvl>
    <w:lvl w:ilvl="8" w:tplc="C87E4658" w:tentative="1">
      <w:start w:val="1"/>
      <w:numFmt w:val="bullet"/>
      <w:lvlText w:val=""/>
      <w:lvlJc w:val="left"/>
      <w:pPr>
        <w:ind w:left="6480" w:hanging="360"/>
      </w:pPr>
      <w:rPr>
        <w:rFonts w:ascii="Wingdings" w:hAnsi="Wingdings" w:hint="default"/>
      </w:rPr>
    </w:lvl>
  </w:abstractNum>
  <w:abstractNum w:abstractNumId="23" w15:restartNumberingAfterBreak="0">
    <w:nsid w:val="5E62286C"/>
    <w:multiLevelType w:val="hybridMultilevel"/>
    <w:tmpl w:val="E6E80B98"/>
    <w:lvl w:ilvl="0" w:tplc="B2804506">
      <w:start w:val="1"/>
      <w:numFmt w:val="bullet"/>
      <w:lvlText w:val=""/>
      <w:lvlJc w:val="left"/>
      <w:pPr>
        <w:ind w:left="720" w:hanging="360"/>
      </w:pPr>
      <w:rPr>
        <w:rFonts w:ascii="Symbol" w:hAnsi="Symbol" w:hint="default"/>
      </w:rPr>
    </w:lvl>
    <w:lvl w:ilvl="1" w:tplc="7C96F006" w:tentative="1">
      <w:start w:val="1"/>
      <w:numFmt w:val="bullet"/>
      <w:lvlText w:val="o"/>
      <w:lvlJc w:val="left"/>
      <w:pPr>
        <w:ind w:left="1440" w:hanging="360"/>
      </w:pPr>
      <w:rPr>
        <w:rFonts w:ascii="Courier New" w:hAnsi="Courier New" w:cs="Courier New" w:hint="default"/>
      </w:rPr>
    </w:lvl>
    <w:lvl w:ilvl="2" w:tplc="A2C4D430" w:tentative="1">
      <w:start w:val="1"/>
      <w:numFmt w:val="bullet"/>
      <w:lvlText w:val=""/>
      <w:lvlJc w:val="left"/>
      <w:pPr>
        <w:ind w:left="2160" w:hanging="360"/>
      </w:pPr>
      <w:rPr>
        <w:rFonts w:ascii="Wingdings" w:hAnsi="Wingdings" w:hint="default"/>
      </w:rPr>
    </w:lvl>
    <w:lvl w:ilvl="3" w:tplc="E466CF28" w:tentative="1">
      <w:start w:val="1"/>
      <w:numFmt w:val="bullet"/>
      <w:lvlText w:val=""/>
      <w:lvlJc w:val="left"/>
      <w:pPr>
        <w:ind w:left="2880" w:hanging="360"/>
      </w:pPr>
      <w:rPr>
        <w:rFonts w:ascii="Symbol" w:hAnsi="Symbol" w:hint="default"/>
      </w:rPr>
    </w:lvl>
    <w:lvl w:ilvl="4" w:tplc="F1C6F5E2" w:tentative="1">
      <w:start w:val="1"/>
      <w:numFmt w:val="bullet"/>
      <w:lvlText w:val="o"/>
      <w:lvlJc w:val="left"/>
      <w:pPr>
        <w:ind w:left="3600" w:hanging="360"/>
      </w:pPr>
      <w:rPr>
        <w:rFonts w:ascii="Courier New" w:hAnsi="Courier New" w:cs="Courier New" w:hint="default"/>
      </w:rPr>
    </w:lvl>
    <w:lvl w:ilvl="5" w:tplc="7766238A" w:tentative="1">
      <w:start w:val="1"/>
      <w:numFmt w:val="bullet"/>
      <w:lvlText w:val=""/>
      <w:lvlJc w:val="left"/>
      <w:pPr>
        <w:ind w:left="4320" w:hanging="360"/>
      </w:pPr>
      <w:rPr>
        <w:rFonts w:ascii="Wingdings" w:hAnsi="Wingdings" w:hint="default"/>
      </w:rPr>
    </w:lvl>
    <w:lvl w:ilvl="6" w:tplc="D17E7374" w:tentative="1">
      <w:start w:val="1"/>
      <w:numFmt w:val="bullet"/>
      <w:lvlText w:val=""/>
      <w:lvlJc w:val="left"/>
      <w:pPr>
        <w:ind w:left="5040" w:hanging="360"/>
      </w:pPr>
      <w:rPr>
        <w:rFonts w:ascii="Symbol" w:hAnsi="Symbol" w:hint="default"/>
      </w:rPr>
    </w:lvl>
    <w:lvl w:ilvl="7" w:tplc="95EC1FDC" w:tentative="1">
      <w:start w:val="1"/>
      <w:numFmt w:val="bullet"/>
      <w:lvlText w:val="o"/>
      <w:lvlJc w:val="left"/>
      <w:pPr>
        <w:ind w:left="5760" w:hanging="360"/>
      </w:pPr>
      <w:rPr>
        <w:rFonts w:ascii="Courier New" w:hAnsi="Courier New" w:cs="Courier New" w:hint="default"/>
      </w:rPr>
    </w:lvl>
    <w:lvl w:ilvl="8" w:tplc="8B083DC4" w:tentative="1">
      <w:start w:val="1"/>
      <w:numFmt w:val="bullet"/>
      <w:lvlText w:val=""/>
      <w:lvlJc w:val="left"/>
      <w:pPr>
        <w:ind w:left="6480" w:hanging="360"/>
      </w:pPr>
      <w:rPr>
        <w:rFonts w:ascii="Wingdings" w:hAnsi="Wingdings" w:hint="default"/>
      </w:rPr>
    </w:lvl>
  </w:abstractNum>
  <w:abstractNum w:abstractNumId="24" w15:restartNumberingAfterBreak="0">
    <w:nsid w:val="64A012E2"/>
    <w:multiLevelType w:val="hybridMultilevel"/>
    <w:tmpl w:val="E87ED11E"/>
    <w:lvl w:ilvl="0" w:tplc="D4B6FF68">
      <w:start w:val="8"/>
      <w:numFmt w:val="bullet"/>
      <w:lvlText w:val="-"/>
      <w:lvlJc w:val="left"/>
      <w:pPr>
        <w:ind w:left="720" w:hanging="360"/>
      </w:pPr>
      <w:rPr>
        <w:rFonts w:ascii="Times New Roman" w:eastAsia="Times New Roman" w:hAnsi="Times New Roman" w:cs="Times New Roman" w:hint="default"/>
      </w:rPr>
    </w:lvl>
    <w:lvl w:ilvl="1" w:tplc="C3A64D78" w:tentative="1">
      <w:start w:val="1"/>
      <w:numFmt w:val="bullet"/>
      <w:lvlText w:val="o"/>
      <w:lvlJc w:val="left"/>
      <w:pPr>
        <w:ind w:left="1440" w:hanging="360"/>
      </w:pPr>
      <w:rPr>
        <w:rFonts w:ascii="Courier New" w:hAnsi="Courier New" w:cs="Courier New" w:hint="default"/>
      </w:rPr>
    </w:lvl>
    <w:lvl w:ilvl="2" w:tplc="665A0854" w:tentative="1">
      <w:start w:val="1"/>
      <w:numFmt w:val="bullet"/>
      <w:lvlText w:val=""/>
      <w:lvlJc w:val="left"/>
      <w:pPr>
        <w:ind w:left="2160" w:hanging="360"/>
      </w:pPr>
      <w:rPr>
        <w:rFonts w:ascii="Wingdings" w:hAnsi="Wingdings" w:hint="default"/>
      </w:rPr>
    </w:lvl>
    <w:lvl w:ilvl="3" w:tplc="D57C71FC" w:tentative="1">
      <w:start w:val="1"/>
      <w:numFmt w:val="bullet"/>
      <w:lvlText w:val=""/>
      <w:lvlJc w:val="left"/>
      <w:pPr>
        <w:ind w:left="2880" w:hanging="360"/>
      </w:pPr>
      <w:rPr>
        <w:rFonts w:ascii="Symbol" w:hAnsi="Symbol" w:hint="default"/>
      </w:rPr>
    </w:lvl>
    <w:lvl w:ilvl="4" w:tplc="38DCC440" w:tentative="1">
      <w:start w:val="1"/>
      <w:numFmt w:val="bullet"/>
      <w:lvlText w:val="o"/>
      <w:lvlJc w:val="left"/>
      <w:pPr>
        <w:ind w:left="3600" w:hanging="360"/>
      </w:pPr>
      <w:rPr>
        <w:rFonts w:ascii="Courier New" w:hAnsi="Courier New" w:cs="Courier New" w:hint="default"/>
      </w:rPr>
    </w:lvl>
    <w:lvl w:ilvl="5" w:tplc="43CC3768" w:tentative="1">
      <w:start w:val="1"/>
      <w:numFmt w:val="bullet"/>
      <w:lvlText w:val=""/>
      <w:lvlJc w:val="left"/>
      <w:pPr>
        <w:ind w:left="4320" w:hanging="360"/>
      </w:pPr>
      <w:rPr>
        <w:rFonts w:ascii="Wingdings" w:hAnsi="Wingdings" w:hint="default"/>
      </w:rPr>
    </w:lvl>
    <w:lvl w:ilvl="6" w:tplc="085AACA2" w:tentative="1">
      <w:start w:val="1"/>
      <w:numFmt w:val="bullet"/>
      <w:lvlText w:val=""/>
      <w:lvlJc w:val="left"/>
      <w:pPr>
        <w:ind w:left="5040" w:hanging="360"/>
      </w:pPr>
      <w:rPr>
        <w:rFonts w:ascii="Symbol" w:hAnsi="Symbol" w:hint="default"/>
      </w:rPr>
    </w:lvl>
    <w:lvl w:ilvl="7" w:tplc="6BB44E7C" w:tentative="1">
      <w:start w:val="1"/>
      <w:numFmt w:val="bullet"/>
      <w:lvlText w:val="o"/>
      <w:lvlJc w:val="left"/>
      <w:pPr>
        <w:ind w:left="5760" w:hanging="360"/>
      </w:pPr>
      <w:rPr>
        <w:rFonts w:ascii="Courier New" w:hAnsi="Courier New" w:cs="Courier New" w:hint="default"/>
      </w:rPr>
    </w:lvl>
    <w:lvl w:ilvl="8" w:tplc="51687DE4" w:tentative="1">
      <w:start w:val="1"/>
      <w:numFmt w:val="bullet"/>
      <w:lvlText w:val=""/>
      <w:lvlJc w:val="left"/>
      <w:pPr>
        <w:ind w:left="6480" w:hanging="360"/>
      </w:pPr>
      <w:rPr>
        <w:rFonts w:ascii="Wingdings" w:hAnsi="Wingdings" w:hint="default"/>
      </w:rPr>
    </w:lvl>
  </w:abstractNum>
  <w:abstractNum w:abstractNumId="25" w15:restartNumberingAfterBreak="0">
    <w:nsid w:val="6C6F31C1"/>
    <w:multiLevelType w:val="hybridMultilevel"/>
    <w:tmpl w:val="70BE946A"/>
    <w:lvl w:ilvl="0" w:tplc="F0E40B9C">
      <w:start w:val="1"/>
      <w:numFmt w:val="bullet"/>
      <w:lvlText w:val=""/>
      <w:lvlJc w:val="left"/>
      <w:pPr>
        <w:ind w:left="1637" w:hanging="360"/>
      </w:pPr>
      <w:rPr>
        <w:rFonts w:ascii="Symbol" w:hAnsi="Symbol" w:hint="default"/>
      </w:rPr>
    </w:lvl>
    <w:lvl w:ilvl="1" w:tplc="BD68F4C4" w:tentative="1">
      <w:start w:val="1"/>
      <w:numFmt w:val="bullet"/>
      <w:lvlText w:val="o"/>
      <w:lvlJc w:val="left"/>
      <w:pPr>
        <w:ind w:left="1440" w:hanging="360"/>
      </w:pPr>
      <w:rPr>
        <w:rFonts w:ascii="Courier New" w:hAnsi="Courier New" w:cs="Courier New" w:hint="default"/>
      </w:rPr>
    </w:lvl>
    <w:lvl w:ilvl="2" w:tplc="AD460456" w:tentative="1">
      <w:start w:val="1"/>
      <w:numFmt w:val="bullet"/>
      <w:lvlText w:val=""/>
      <w:lvlJc w:val="left"/>
      <w:pPr>
        <w:ind w:left="2160" w:hanging="360"/>
      </w:pPr>
      <w:rPr>
        <w:rFonts w:ascii="Wingdings" w:hAnsi="Wingdings" w:hint="default"/>
      </w:rPr>
    </w:lvl>
    <w:lvl w:ilvl="3" w:tplc="C6622F1C" w:tentative="1">
      <w:start w:val="1"/>
      <w:numFmt w:val="bullet"/>
      <w:lvlText w:val=""/>
      <w:lvlJc w:val="left"/>
      <w:pPr>
        <w:ind w:left="2880" w:hanging="360"/>
      </w:pPr>
      <w:rPr>
        <w:rFonts w:ascii="Symbol" w:hAnsi="Symbol" w:hint="default"/>
      </w:rPr>
    </w:lvl>
    <w:lvl w:ilvl="4" w:tplc="B030AD3C" w:tentative="1">
      <w:start w:val="1"/>
      <w:numFmt w:val="bullet"/>
      <w:lvlText w:val="o"/>
      <w:lvlJc w:val="left"/>
      <w:pPr>
        <w:ind w:left="3600" w:hanging="360"/>
      </w:pPr>
      <w:rPr>
        <w:rFonts w:ascii="Courier New" w:hAnsi="Courier New" w:cs="Courier New" w:hint="default"/>
      </w:rPr>
    </w:lvl>
    <w:lvl w:ilvl="5" w:tplc="816802F8" w:tentative="1">
      <w:start w:val="1"/>
      <w:numFmt w:val="bullet"/>
      <w:lvlText w:val=""/>
      <w:lvlJc w:val="left"/>
      <w:pPr>
        <w:ind w:left="4320" w:hanging="360"/>
      </w:pPr>
      <w:rPr>
        <w:rFonts w:ascii="Wingdings" w:hAnsi="Wingdings" w:hint="default"/>
      </w:rPr>
    </w:lvl>
    <w:lvl w:ilvl="6" w:tplc="45C86A5C" w:tentative="1">
      <w:start w:val="1"/>
      <w:numFmt w:val="bullet"/>
      <w:lvlText w:val=""/>
      <w:lvlJc w:val="left"/>
      <w:pPr>
        <w:ind w:left="5040" w:hanging="360"/>
      </w:pPr>
      <w:rPr>
        <w:rFonts w:ascii="Symbol" w:hAnsi="Symbol" w:hint="default"/>
      </w:rPr>
    </w:lvl>
    <w:lvl w:ilvl="7" w:tplc="C0EE13F0" w:tentative="1">
      <w:start w:val="1"/>
      <w:numFmt w:val="bullet"/>
      <w:lvlText w:val="o"/>
      <w:lvlJc w:val="left"/>
      <w:pPr>
        <w:ind w:left="5760" w:hanging="360"/>
      </w:pPr>
      <w:rPr>
        <w:rFonts w:ascii="Courier New" w:hAnsi="Courier New" w:cs="Courier New" w:hint="default"/>
      </w:rPr>
    </w:lvl>
    <w:lvl w:ilvl="8" w:tplc="3320A42A"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0"/>
  </w:num>
  <w:num w:numId="16">
    <w:abstractNumId w:val="11"/>
  </w:num>
  <w:num w:numId="17">
    <w:abstractNumId w:val="20"/>
  </w:num>
  <w:num w:numId="18">
    <w:abstractNumId w:val="24"/>
  </w:num>
  <w:num w:numId="19">
    <w:abstractNumId w:val="13"/>
  </w:num>
  <w:num w:numId="20">
    <w:abstractNumId w:val="17"/>
  </w:num>
  <w:num w:numId="21">
    <w:abstractNumId w:val="25"/>
  </w:num>
  <w:num w:numId="22">
    <w:abstractNumId w:val="18"/>
  </w:num>
  <w:num w:numId="23">
    <w:abstractNumId w:val="23"/>
  </w:num>
  <w:num w:numId="24">
    <w:abstractNumId w:val="12"/>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74E6"/>
    <w:rsid w:val="00007586"/>
    <w:rsid w:val="00007B0A"/>
    <w:rsid w:val="00007B4F"/>
    <w:rsid w:val="00007E67"/>
    <w:rsid w:val="000100B4"/>
    <w:rsid w:val="00011142"/>
    <w:rsid w:val="000116F2"/>
    <w:rsid w:val="000119B5"/>
    <w:rsid w:val="00012E7D"/>
    <w:rsid w:val="0001403E"/>
    <w:rsid w:val="00014864"/>
    <w:rsid w:val="00014F82"/>
    <w:rsid w:val="00015829"/>
    <w:rsid w:val="00015A0F"/>
    <w:rsid w:val="00015EBB"/>
    <w:rsid w:val="0001653E"/>
    <w:rsid w:val="000165B8"/>
    <w:rsid w:val="000166E4"/>
    <w:rsid w:val="0001750C"/>
    <w:rsid w:val="00020022"/>
    <w:rsid w:val="000205FD"/>
    <w:rsid w:val="000213AF"/>
    <w:rsid w:val="00021505"/>
    <w:rsid w:val="000228F0"/>
    <w:rsid w:val="00022DBA"/>
    <w:rsid w:val="00023559"/>
    <w:rsid w:val="00023C02"/>
    <w:rsid w:val="000242BD"/>
    <w:rsid w:val="0002495D"/>
    <w:rsid w:val="0002526A"/>
    <w:rsid w:val="00025512"/>
    <w:rsid w:val="00025678"/>
    <w:rsid w:val="00025D31"/>
    <w:rsid w:val="00027CDD"/>
    <w:rsid w:val="00030D37"/>
    <w:rsid w:val="00032837"/>
    <w:rsid w:val="00032B4C"/>
    <w:rsid w:val="00032B74"/>
    <w:rsid w:val="000334B0"/>
    <w:rsid w:val="000334C0"/>
    <w:rsid w:val="00033C50"/>
    <w:rsid w:val="0003407C"/>
    <w:rsid w:val="00034599"/>
    <w:rsid w:val="00034913"/>
    <w:rsid w:val="0003542B"/>
    <w:rsid w:val="000354D6"/>
    <w:rsid w:val="000364D2"/>
    <w:rsid w:val="00036BC4"/>
    <w:rsid w:val="00037258"/>
    <w:rsid w:val="00037B63"/>
    <w:rsid w:val="000402D6"/>
    <w:rsid w:val="00041127"/>
    <w:rsid w:val="0004129E"/>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1BAC"/>
    <w:rsid w:val="00052F96"/>
    <w:rsid w:val="00053385"/>
    <w:rsid w:val="00053452"/>
    <w:rsid w:val="00054420"/>
    <w:rsid w:val="000544D3"/>
    <w:rsid w:val="000549F5"/>
    <w:rsid w:val="00054A68"/>
    <w:rsid w:val="000555BB"/>
    <w:rsid w:val="00055682"/>
    <w:rsid w:val="00055935"/>
    <w:rsid w:val="000559DC"/>
    <w:rsid w:val="00056509"/>
    <w:rsid w:val="0005651D"/>
    <w:rsid w:val="00056AE2"/>
    <w:rsid w:val="00057082"/>
    <w:rsid w:val="00060217"/>
    <w:rsid w:val="00061597"/>
    <w:rsid w:val="00061896"/>
    <w:rsid w:val="0006364C"/>
    <w:rsid w:val="000643BA"/>
    <w:rsid w:val="00065039"/>
    <w:rsid w:val="00066911"/>
    <w:rsid w:val="00066B82"/>
    <w:rsid w:val="00066E2D"/>
    <w:rsid w:val="0006724D"/>
    <w:rsid w:val="00067E47"/>
    <w:rsid w:val="00067FDD"/>
    <w:rsid w:val="00070810"/>
    <w:rsid w:val="00070A1E"/>
    <w:rsid w:val="00070D2C"/>
    <w:rsid w:val="000715CD"/>
    <w:rsid w:val="0007184E"/>
    <w:rsid w:val="00071A75"/>
    <w:rsid w:val="000726A1"/>
    <w:rsid w:val="00073281"/>
    <w:rsid w:val="00073338"/>
    <w:rsid w:val="00073A5D"/>
    <w:rsid w:val="00073CD8"/>
    <w:rsid w:val="000745F7"/>
    <w:rsid w:val="00075A01"/>
    <w:rsid w:val="00075AA8"/>
    <w:rsid w:val="00075B90"/>
    <w:rsid w:val="00075E91"/>
    <w:rsid w:val="000763CD"/>
    <w:rsid w:val="000769DF"/>
    <w:rsid w:val="00076F4E"/>
    <w:rsid w:val="0007752C"/>
    <w:rsid w:val="000775F3"/>
    <w:rsid w:val="00077850"/>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A6C0E"/>
    <w:rsid w:val="000B076A"/>
    <w:rsid w:val="000B0B19"/>
    <w:rsid w:val="000B0D2D"/>
    <w:rsid w:val="000B231E"/>
    <w:rsid w:val="000B2DF6"/>
    <w:rsid w:val="000B4106"/>
    <w:rsid w:val="000B4FF4"/>
    <w:rsid w:val="000B56E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12"/>
    <w:rsid w:val="000F6167"/>
    <w:rsid w:val="000F6FD6"/>
    <w:rsid w:val="00100497"/>
    <w:rsid w:val="00100FF8"/>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AF6"/>
    <w:rsid w:val="00120E17"/>
    <w:rsid w:val="00121CDC"/>
    <w:rsid w:val="0012201D"/>
    <w:rsid w:val="00122DB3"/>
    <w:rsid w:val="0012392B"/>
    <w:rsid w:val="00123A36"/>
    <w:rsid w:val="00123BCA"/>
    <w:rsid w:val="00124233"/>
    <w:rsid w:val="00124D05"/>
    <w:rsid w:val="00125E18"/>
    <w:rsid w:val="00125E71"/>
    <w:rsid w:val="0012622E"/>
    <w:rsid w:val="00126836"/>
    <w:rsid w:val="00126981"/>
    <w:rsid w:val="00126C3E"/>
    <w:rsid w:val="0012764C"/>
    <w:rsid w:val="001277BB"/>
    <w:rsid w:val="0013010B"/>
    <w:rsid w:val="00130251"/>
    <w:rsid w:val="00130CA4"/>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7E3"/>
    <w:rsid w:val="00144D6C"/>
    <w:rsid w:val="00144F9D"/>
    <w:rsid w:val="00145AA9"/>
    <w:rsid w:val="00146880"/>
    <w:rsid w:val="00146BC0"/>
    <w:rsid w:val="00147021"/>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6F9C"/>
    <w:rsid w:val="00167460"/>
    <w:rsid w:val="00167591"/>
    <w:rsid w:val="00170789"/>
    <w:rsid w:val="00171069"/>
    <w:rsid w:val="00171F70"/>
    <w:rsid w:val="00173183"/>
    <w:rsid w:val="00174EF4"/>
    <w:rsid w:val="001751FA"/>
    <w:rsid w:val="001758EE"/>
    <w:rsid w:val="001760AF"/>
    <w:rsid w:val="001760E2"/>
    <w:rsid w:val="00176315"/>
    <w:rsid w:val="00176A92"/>
    <w:rsid w:val="00176ECF"/>
    <w:rsid w:val="0017709C"/>
    <w:rsid w:val="00177591"/>
    <w:rsid w:val="001778D4"/>
    <w:rsid w:val="0018018B"/>
    <w:rsid w:val="00182677"/>
    <w:rsid w:val="00182913"/>
    <w:rsid w:val="00182D9F"/>
    <w:rsid w:val="0018331F"/>
    <w:rsid w:val="001837F7"/>
    <w:rsid w:val="00183CB0"/>
    <w:rsid w:val="00183EC9"/>
    <w:rsid w:val="00183EE5"/>
    <w:rsid w:val="001847E4"/>
    <w:rsid w:val="00184C5D"/>
    <w:rsid w:val="00184EE7"/>
    <w:rsid w:val="0018500A"/>
    <w:rsid w:val="00185130"/>
    <w:rsid w:val="00185474"/>
    <w:rsid w:val="001856BA"/>
    <w:rsid w:val="001856C9"/>
    <w:rsid w:val="0018598C"/>
    <w:rsid w:val="00190076"/>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4821"/>
    <w:rsid w:val="00194A11"/>
    <w:rsid w:val="001952AA"/>
    <w:rsid w:val="00195C84"/>
    <w:rsid w:val="00195D95"/>
    <w:rsid w:val="001970EC"/>
    <w:rsid w:val="001977BF"/>
    <w:rsid w:val="00197856"/>
    <w:rsid w:val="00197A21"/>
    <w:rsid w:val="00197A5D"/>
    <w:rsid w:val="00197DD4"/>
    <w:rsid w:val="001A03C8"/>
    <w:rsid w:val="001A0814"/>
    <w:rsid w:val="001A0AC8"/>
    <w:rsid w:val="001A190F"/>
    <w:rsid w:val="001A2320"/>
    <w:rsid w:val="001A2C90"/>
    <w:rsid w:val="001A4197"/>
    <w:rsid w:val="001A5AC6"/>
    <w:rsid w:val="001A5BAA"/>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3846"/>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E77"/>
    <w:rsid w:val="001C5F58"/>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1BD"/>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046"/>
    <w:rsid w:val="001F3B3A"/>
    <w:rsid w:val="001F3B4F"/>
    <w:rsid w:val="001F3BE6"/>
    <w:rsid w:val="001F45BC"/>
    <w:rsid w:val="001F4E12"/>
    <w:rsid w:val="001F4E3B"/>
    <w:rsid w:val="001F5142"/>
    <w:rsid w:val="001F5844"/>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A9"/>
    <w:rsid w:val="002062E9"/>
    <w:rsid w:val="00206D6C"/>
    <w:rsid w:val="002072BA"/>
    <w:rsid w:val="002074A8"/>
    <w:rsid w:val="0020780A"/>
    <w:rsid w:val="00207938"/>
    <w:rsid w:val="00207FF5"/>
    <w:rsid w:val="00210BA5"/>
    <w:rsid w:val="00210FA3"/>
    <w:rsid w:val="00211ABF"/>
    <w:rsid w:val="0021246A"/>
    <w:rsid w:val="00213061"/>
    <w:rsid w:val="0021419B"/>
    <w:rsid w:val="0021430E"/>
    <w:rsid w:val="00214E58"/>
    <w:rsid w:val="0021523A"/>
    <w:rsid w:val="00215EAC"/>
    <w:rsid w:val="00216195"/>
    <w:rsid w:val="00216732"/>
    <w:rsid w:val="00216923"/>
    <w:rsid w:val="00216B44"/>
    <w:rsid w:val="0021707A"/>
    <w:rsid w:val="00217956"/>
    <w:rsid w:val="00217CD1"/>
    <w:rsid w:val="00217DFB"/>
    <w:rsid w:val="0022059F"/>
    <w:rsid w:val="002209C0"/>
    <w:rsid w:val="0022123A"/>
    <w:rsid w:val="002213C9"/>
    <w:rsid w:val="002216C7"/>
    <w:rsid w:val="00221B04"/>
    <w:rsid w:val="0022233E"/>
    <w:rsid w:val="0022304E"/>
    <w:rsid w:val="00223367"/>
    <w:rsid w:val="0022375E"/>
    <w:rsid w:val="002237DD"/>
    <w:rsid w:val="00223C45"/>
    <w:rsid w:val="00223F8A"/>
    <w:rsid w:val="00224781"/>
    <w:rsid w:val="00224D19"/>
    <w:rsid w:val="00225BAD"/>
    <w:rsid w:val="00226874"/>
    <w:rsid w:val="00226D8F"/>
    <w:rsid w:val="00226DA9"/>
    <w:rsid w:val="0022764A"/>
    <w:rsid w:val="0023011B"/>
    <w:rsid w:val="00230327"/>
    <w:rsid w:val="0023040E"/>
    <w:rsid w:val="0023076B"/>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4F25"/>
    <w:rsid w:val="002450B1"/>
    <w:rsid w:val="00245E0B"/>
    <w:rsid w:val="00246B3A"/>
    <w:rsid w:val="00247CF4"/>
    <w:rsid w:val="002516D3"/>
    <w:rsid w:val="00251B29"/>
    <w:rsid w:val="00251D02"/>
    <w:rsid w:val="00252117"/>
    <w:rsid w:val="00253199"/>
    <w:rsid w:val="00253290"/>
    <w:rsid w:val="002541C1"/>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31E2"/>
    <w:rsid w:val="002634DA"/>
    <w:rsid w:val="00263C25"/>
    <w:rsid w:val="00263ECF"/>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1E"/>
    <w:rsid w:val="0027724B"/>
    <w:rsid w:val="00277B34"/>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7D9"/>
    <w:rsid w:val="002938DB"/>
    <w:rsid w:val="00293C6A"/>
    <w:rsid w:val="0029421F"/>
    <w:rsid w:val="00294583"/>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28"/>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55D3"/>
    <w:rsid w:val="002B730D"/>
    <w:rsid w:val="002B7500"/>
    <w:rsid w:val="002C0ECE"/>
    <w:rsid w:val="002C0EDB"/>
    <w:rsid w:val="002C18D2"/>
    <w:rsid w:val="002C2868"/>
    <w:rsid w:val="002C2935"/>
    <w:rsid w:val="002C2A71"/>
    <w:rsid w:val="002C3E18"/>
    <w:rsid w:val="002C4919"/>
    <w:rsid w:val="002C50C4"/>
    <w:rsid w:val="002C53AF"/>
    <w:rsid w:val="002C57FD"/>
    <w:rsid w:val="002C677F"/>
    <w:rsid w:val="002C69B1"/>
    <w:rsid w:val="002D1BC4"/>
    <w:rsid w:val="002D200F"/>
    <w:rsid w:val="002D272A"/>
    <w:rsid w:val="002D2F7D"/>
    <w:rsid w:val="002D32C4"/>
    <w:rsid w:val="002D3487"/>
    <w:rsid w:val="002D3CCA"/>
    <w:rsid w:val="002D3DA5"/>
    <w:rsid w:val="002D4497"/>
    <w:rsid w:val="002D4D49"/>
    <w:rsid w:val="002D4FE0"/>
    <w:rsid w:val="002D5CF2"/>
    <w:rsid w:val="002D5F6D"/>
    <w:rsid w:val="002D67C5"/>
    <w:rsid w:val="002D6B71"/>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629E"/>
    <w:rsid w:val="002E7604"/>
    <w:rsid w:val="002E7B41"/>
    <w:rsid w:val="002F0034"/>
    <w:rsid w:val="002F0201"/>
    <w:rsid w:val="002F03FD"/>
    <w:rsid w:val="002F07CD"/>
    <w:rsid w:val="002F07E1"/>
    <w:rsid w:val="002F084E"/>
    <w:rsid w:val="002F1AD7"/>
    <w:rsid w:val="002F3799"/>
    <w:rsid w:val="002F42E8"/>
    <w:rsid w:val="002F4F40"/>
    <w:rsid w:val="002F51B7"/>
    <w:rsid w:val="002F5453"/>
    <w:rsid w:val="002F5C86"/>
    <w:rsid w:val="002F63AE"/>
    <w:rsid w:val="002F643F"/>
    <w:rsid w:val="002F739D"/>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98A"/>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462"/>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111"/>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A60"/>
    <w:rsid w:val="00347D69"/>
    <w:rsid w:val="003502AE"/>
    <w:rsid w:val="00350DBD"/>
    <w:rsid w:val="00351415"/>
    <w:rsid w:val="003515CF"/>
    <w:rsid w:val="0035222A"/>
    <w:rsid w:val="00352656"/>
    <w:rsid w:val="003529F1"/>
    <w:rsid w:val="00352AB3"/>
    <w:rsid w:val="00352FC2"/>
    <w:rsid w:val="00352FED"/>
    <w:rsid w:val="00353282"/>
    <w:rsid w:val="00354AE1"/>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1B07"/>
    <w:rsid w:val="00362B38"/>
    <w:rsid w:val="00363221"/>
    <w:rsid w:val="003634C7"/>
    <w:rsid w:val="003634EF"/>
    <w:rsid w:val="003635D9"/>
    <w:rsid w:val="0036403A"/>
    <w:rsid w:val="00364D97"/>
    <w:rsid w:val="0036715A"/>
    <w:rsid w:val="00370967"/>
    <w:rsid w:val="00370D84"/>
    <w:rsid w:val="0037165F"/>
    <w:rsid w:val="003717FC"/>
    <w:rsid w:val="00371FAA"/>
    <w:rsid w:val="00372083"/>
    <w:rsid w:val="00372112"/>
    <w:rsid w:val="003726C2"/>
    <w:rsid w:val="00372A1C"/>
    <w:rsid w:val="00372EB7"/>
    <w:rsid w:val="0037315A"/>
    <w:rsid w:val="00373339"/>
    <w:rsid w:val="00373C93"/>
    <w:rsid w:val="00373CDD"/>
    <w:rsid w:val="003749D0"/>
    <w:rsid w:val="00374C9D"/>
    <w:rsid w:val="00376392"/>
    <w:rsid w:val="00376679"/>
    <w:rsid w:val="003771BD"/>
    <w:rsid w:val="003774E2"/>
    <w:rsid w:val="00377EE0"/>
    <w:rsid w:val="00380E2B"/>
    <w:rsid w:val="003811C5"/>
    <w:rsid w:val="00381F0A"/>
    <w:rsid w:val="00382F63"/>
    <w:rsid w:val="0038332A"/>
    <w:rsid w:val="003837FF"/>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53BC"/>
    <w:rsid w:val="003A55DC"/>
    <w:rsid w:val="003A5BEF"/>
    <w:rsid w:val="003A6152"/>
    <w:rsid w:val="003A6529"/>
    <w:rsid w:val="003A67A8"/>
    <w:rsid w:val="003A6CC7"/>
    <w:rsid w:val="003A7FFD"/>
    <w:rsid w:val="003B0357"/>
    <w:rsid w:val="003B05F9"/>
    <w:rsid w:val="003B0ED5"/>
    <w:rsid w:val="003B1799"/>
    <w:rsid w:val="003B18A5"/>
    <w:rsid w:val="003B1963"/>
    <w:rsid w:val="003B2089"/>
    <w:rsid w:val="003B2461"/>
    <w:rsid w:val="003B2E84"/>
    <w:rsid w:val="003B3664"/>
    <w:rsid w:val="003B4004"/>
    <w:rsid w:val="003B4A1F"/>
    <w:rsid w:val="003B56F7"/>
    <w:rsid w:val="003B5CCC"/>
    <w:rsid w:val="003B5DCC"/>
    <w:rsid w:val="003B5E32"/>
    <w:rsid w:val="003B6BFB"/>
    <w:rsid w:val="003B7A9C"/>
    <w:rsid w:val="003B7D20"/>
    <w:rsid w:val="003C05D2"/>
    <w:rsid w:val="003C0799"/>
    <w:rsid w:val="003C096B"/>
    <w:rsid w:val="003C0FB2"/>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C6BAC"/>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E0D"/>
    <w:rsid w:val="003E331F"/>
    <w:rsid w:val="003E3A0F"/>
    <w:rsid w:val="003E4428"/>
    <w:rsid w:val="003E4EA8"/>
    <w:rsid w:val="003E54CE"/>
    <w:rsid w:val="003E560C"/>
    <w:rsid w:val="003E5ABA"/>
    <w:rsid w:val="003E5DB9"/>
    <w:rsid w:val="003E6630"/>
    <w:rsid w:val="003E6986"/>
    <w:rsid w:val="003E748D"/>
    <w:rsid w:val="003F0088"/>
    <w:rsid w:val="003F030B"/>
    <w:rsid w:val="003F0663"/>
    <w:rsid w:val="003F0F3F"/>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4C4"/>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3222"/>
    <w:rsid w:val="004135C6"/>
    <w:rsid w:val="00413C76"/>
    <w:rsid w:val="00414CE6"/>
    <w:rsid w:val="00414E87"/>
    <w:rsid w:val="004150CD"/>
    <w:rsid w:val="004155FC"/>
    <w:rsid w:val="004156F7"/>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65DB"/>
    <w:rsid w:val="00437200"/>
    <w:rsid w:val="004379CD"/>
    <w:rsid w:val="00437F11"/>
    <w:rsid w:val="00440671"/>
    <w:rsid w:val="004418DF"/>
    <w:rsid w:val="00441A0E"/>
    <w:rsid w:val="004421B2"/>
    <w:rsid w:val="004423FA"/>
    <w:rsid w:val="00442771"/>
    <w:rsid w:val="00442CA0"/>
    <w:rsid w:val="004431CB"/>
    <w:rsid w:val="00443554"/>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ABE"/>
    <w:rsid w:val="00456E0D"/>
    <w:rsid w:val="00456FF4"/>
    <w:rsid w:val="0045775F"/>
    <w:rsid w:val="004578B9"/>
    <w:rsid w:val="00457F82"/>
    <w:rsid w:val="00460281"/>
    <w:rsid w:val="0046048C"/>
    <w:rsid w:val="00461F0E"/>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02"/>
    <w:rsid w:val="00493C1C"/>
    <w:rsid w:val="00493CE2"/>
    <w:rsid w:val="00493EFF"/>
    <w:rsid w:val="004952A2"/>
    <w:rsid w:val="004952CD"/>
    <w:rsid w:val="00495512"/>
    <w:rsid w:val="00497124"/>
    <w:rsid w:val="00497850"/>
    <w:rsid w:val="00497990"/>
    <w:rsid w:val="004A1839"/>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5DDA"/>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438"/>
    <w:rsid w:val="004C2BDE"/>
    <w:rsid w:val="004C2EF0"/>
    <w:rsid w:val="004C33D5"/>
    <w:rsid w:val="004C359B"/>
    <w:rsid w:val="004C39DF"/>
    <w:rsid w:val="004C3CE1"/>
    <w:rsid w:val="004C3ED2"/>
    <w:rsid w:val="004C42C7"/>
    <w:rsid w:val="004C44AC"/>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71F2"/>
    <w:rsid w:val="004E7E34"/>
    <w:rsid w:val="004F01AF"/>
    <w:rsid w:val="004F1CFD"/>
    <w:rsid w:val="004F1E92"/>
    <w:rsid w:val="004F22B3"/>
    <w:rsid w:val="004F246C"/>
    <w:rsid w:val="004F2C8C"/>
    <w:rsid w:val="004F3965"/>
    <w:rsid w:val="004F440E"/>
    <w:rsid w:val="004F5068"/>
    <w:rsid w:val="004F6430"/>
    <w:rsid w:val="004F6E7F"/>
    <w:rsid w:val="004F7447"/>
    <w:rsid w:val="00500D9E"/>
    <w:rsid w:val="00501B0C"/>
    <w:rsid w:val="00501BD4"/>
    <w:rsid w:val="00501CC8"/>
    <w:rsid w:val="00503D57"/>
    <w:rsid w:val="0050441A"/>
    <w:rsid w:val="00504637"/>
    <w:rsid w:val="005053E4"/>
    <w:rsid w:val="005077E2"/>
    <w:rsid w:val="00507EC7"/>
    <w:rsid w:val="00510384"/>
    <w:rsid w:val="005104FC"/>
    <w:rsid w:val="00510700"/>
    <w:rsid w:val="0051093A"/>
    <w:rsid w:val="00510980"/>
    <w:rsid w:val="00510C42"/>
    <w:rsid w:val="00511729"/>
    <w:rsid w:val="0051200C"/>
    <w:rsid w:val="00513BB3"/>
    <w:rsid w:val="00513DA1"/>
    <w:rsid w:val="0051452B"/>
    <w:rsid w:val="0051497F"/>
    <w:rsid w:val="00514E4F"/>
    <w:rsid w:val="005168F6"/>
    <w:rsid w:val="00516DD9"/>
    <w:rsid w:val="0051712C"/>
    <w:rsid w:val="005174F6"/>
    <w:rsid w:val="005177FF"/>
    <w:rsid w:val="00520C86"/>
    <w:rsid w:val="00521067"/>
    <w:rsid w:val="00522079"/>
    <w:rsid w:val="00522A70"/>
    <w:rsid w:val="00522CE9"/>
    <w:rsid w:val="005240EC"/>
    <w:rsid w:val="00524277"/>
    <w:rsid w:val="00524F90"/>
    <w:rsid w:val="005251E2"/>
    <w:rsid w:val="0052594C"/>
    <w:rsid w:val="00525A47"/>
    <w:rsid w:val="00525DCE"/>
    <w:rsid w:val="00525EF3"/>
    <w:rsid w:val="00526680"/>
    <w:rsid w:val="00526FCB"/>
    <w:rsid w:val="00527863"/>
    <w:rsid w:val="005301F4"/>
    <w:rsid w:val="00531412"/>
    <w:rsid w:val="005328BA"/>
    <w:rsid w:val="00532B51"/>
    <w:rsid w:val="0053313E"/>
    <w:rsid w:val="00534628"/>
    <w:rsid w:val="00534D2B"/>
    <w:rsid w:val="00535B05"/>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47DB4"/>
    <w:rsid w:val="005517E6"/>
    <w:rsid w:val="0055273F"/>
    <w:rsid w:val="00553589"/>
    <w:rsid w:val="005539F5"/>
    <w:rsid w:val="00554837"/>
    <w:rsid w:val="00554F55"/>
    <w:rsid w:val="00555DF8"/>
    <w:rsid w:val="00556633"/>
    <w:rsid w:val="00556D73"/>
    <w:rsid w:val="00556EDC"/>
    <w:rsid w:val="005577ED"/>
    <w:rsid w:val="005579D6"/>
    <w:rsid w:val="00560257"/>
    <w:rsid w:val="00560C97"/>
    <w:rsid w:val="0056187B"/>
    <w:rsid w:val="00562180"/>
    <w:rsid w:val="005632D2"/>
    <w:rsid w:val="005633C0"/>
    <w:rsid w:val="00563519"/>
    <w:rsid w:val="00563811"/>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2DA"/>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04A"/>
    <w:rsid w:val="005805E1"/>
    <w:rsid w:val="00580672"/>
    <w:rsid w:val="0058194D"/>
    <w:rsid w:val="00581A6D"/>
    <w:rsid w:val="0058278A"/>
    <w:rsid w:val="005836F5"/>
    <w:rsid w:val="0058379C"/>
    <w:rsid w:val="00583FA7"/>
    <w:rsid w:val="005848EE"/>
    <w:rsid w:val="00584AA6"/>
    <w:rsid w:val="00584BDF"/>
    <w:rsid w:val="0058572A"/>
    <w:rsid w:val="0058593E"/>
    <w:rsid w:val="00585B05"/>
    <w:rsid w:val="005860D6"/>
    <w:rsid w:val="00586259"/>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0DC"/>
    <w:rsid w:val="005A1CA9"/>
    <w:rsid w:val="005A1DEB"/>
    <w:rsid w:val="005A331D"/>
    <w:rsid w:val="005A37D3"/>
    <w:rsid w:val="005A4563"/>
    <w:rsid w:val="005A49F0"/>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7EC"/>
    <w:rsid w:val="005C3B32"/>
    <w:rsid w:val="005C4715"/>
    <w:rsid w:val="005C494E"/>
    <w:rsid w:val="005C4A9B"/>
    <w:rsid w:val="005C4B84"/>
    <w:rsid w:val="005C5A78"/>
    <w:rsid w:val="005C5FC6"/>
    <w:rsid w:val="005C61F2"/>
    <w:rsid w:val="005C68B2"/>
    <w:rsid w:val="005C7472"/>
    <w:rsid w:val="005C7562"/>
    <w:rsid w:val="005C7BDC"/>
    <w:rsid w:val="005C7E29"/>
    <w:rsid w:val="005D05BA"/>
    <w:rsid w:val="005D0B9C"/>
    <w:rsid w:val="005D1369"/>
    <w:rsid w:val="005D15DC"/>
    <w:rsid w:val="005D1F23"/>
    <w:rsid w:val="005D213C"/>
    <w:rsid w:val="005D39C8"/>
    <w:rsid w:val="005D4A41"/>
    <w:rsid w:val="005D4FB2"/>
    <w:rsid w:val="005D6232"/>
    <w:rsid w:val="005D65F6"/>
    <w:rsid w:val="005D6A61"/>
    <w:rsid w:val="005D6A8B"/>
    <w:rsid w:val="005D6D07"/>
    <w:rsid w:val="005D767F"/>
    <w:rsid w:val="005D7838"/>
    <w:rsid w:val="005D7901"/>
    <w:rsid w:val="005D79EB"/>
    <w:rsid w:val="005D7D1D"/>
    <w:rsid w:val="005E0461"/>
    <w:rsid w:val="005E0895"/>
    <w:rsid w:val="005E093B"/>
    <w:rsid w:val="005E1C77"/>
    <w:rsid w:val="005E2035"/>
    <w:rsid w:val="005E21F3"/>
    <w:rsid w:val="005E22DD"/>
    <w:rsid w:val="005E23A8"/>
    <w:rsid w:val="005E2B47"/>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19CB"/>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011"/>
    <w:rsid w:val="00611271"/>
    <w:rsid w:val="006114C6"/>
    <w:rsid w:val="0061155E"/>
    <w:rsid w:val="00611673"/>
    <w:rsid w:val="006126E2"/>
    <w:rsid w:val="00612C35"/>
    <w:rsid w:val="006131CD"/>
    <w:rsid w:val="0061339B"/>
    <w:rsid w:val="0061349A"/>
    <w:rsid w:val="00613BB4"/>
    <w:rsid w:val="00613E19"/>
    <w:rsid w:val="0061409D"/>
    <w:rsid w:val="006147B0"/>
    <w:rsid w:val="00614B2E"/>
    <w:rsid w:val="00614E10"/>
    <w:rsid w:val="006156E6"/>
    <w:rsid w:val="00615E44"/>
    <w:rsid w:val="00616423"/>
    <w:rsid w:val="006166DB"/>
    <w:rsid w:val="006168DF"/>
    <w:rsid w:val="00616EB8"/>
    <w:rsid w:val="00616F9A"/>
    <w:rsid w:val="00620F58"/>
    <w:rsid w:val="006217E4"/>
    <w:rsid w:val="00621CE9"/>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0A4"/>
    <w:rsid w:val="00637AAB"/>
    <w:rsid w:val="00637AE9"/>
    <w:rsid w:val="00637C49"/>
    <w:rsid w:val="00637FFE"/>
    <w:rsid w:val="006402DE"/>
    <w:rsid w:val="006408B9"/>
    <w:rsid w:val="00642117"/>
    <w:rsid w:val="00642A45"/>
    <w:rsid w:val="0064362C"/>
    <w:rsid w:val="00643BF8"/>
    <w:rsid w:val="00643D59"/>
    <w:rsid w:val="006441EC"/>
    <w:rsid w:val="0064446A"/>
    <w:rsid w:val="0064543F"/>
    <w:rsid w:val="006461D2"/>
    <w:rsid w:val="00646318"/>
    <w:rsid w:val="00647252"/>
    <w:rsid w:val="00647612"/>
    <w:rsid w:val="00650A2E"/>
    <w:rsid w:val="00652B5B"/>
    <w:rsid w:val="00652FEA"/>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0D9"/>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54A"/>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320"/>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5A"/>
    <w:rsid w:val="006B79CF"/>
    <w:rsid w:val="006C0ECF"/>
    <w:rsid w:val="006C15F8"/>
    <w:rsid w:val="006C33AD"/>
    <w:rsid w:val="006C45DC"/>
    <w:rsid w:val="006C4A45"/>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0DA"/>
    <w:rsid w:val="006E01AD"/>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6F5E77"/>
    <w:rsid w:val="006F73D5"/>
    <w:rsid w:val="00700E1E"/>
    <w:rsid w:val="0070126F"/>
    <w:rsid w:val="00701F75"/>
    <w:rsid w:val="007029D7"/>
    <w:rsid w:val="00702DD7"/>
    <w:rsid w:val="00703964"/>
    <w:rsid w:val="007039ED"/>
    <w:rsid w:val="00703F48"/>
    <w:rsid w:val="0070448C"/>
    <w:rsid w:val="00705BCF"/>
    <w:rsid w:val="00706B10"/>
    <w:rsid w:val="0070705D"/>
    <w:rsid w:val="0070768D"/>
    <w:rsid w:val="007077FE"/>
    <w:rsid w:val="00707C00"/>
    <w:rsid w:val="0071003E"/>
    <w:rsid w:val="007100EA"/>
    <w:rsid w:val="0071025C"/>
    <w:rsid w:val="00710A7B"/>
    <w:rsid w:val="00710B6D"/>
    <w:rsid w:val="007118A7"/>
    <w:rsid w:val="00711CC0"/>
    <w:rsid w:val="0071259F"/>
    <w:rsid w:val="007139AC"/>
    <w:rsid w:val="007150DF"/>
    <w:rsid w:val="00715167"/>
    <w:rsid w:val="007155DC"/>
    <w:rsid w:val="00715DE9"/>
    <w:rsid w:val="00716131"/>
    <w:rsid w:val="00716562"/>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988"/>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50C"/>
    <w:rsid w:val="007418E7"/>
    <w:rsid w:val="007420DE"/>
    <w:rsid w:val="0074222A"/>
    <w:rsid w:val="007426E4"/>
    <w:rsid w:val="00742918"/>
    <w:rsid w:val="00742AC3"/>
    <w:rsid w:val="00742B4A"/>
    <w:rsid w:val="00742C30"/>
    <w:rsid w:val="00743034"/>
    <w:rsid w:val="00743320"/>
    <w:rsid w:val="0074440F"/>
    <w:rsid w:val="007448BA"/>
    <w:rsid w:val="00744AC4"/>
    <w:rsid w:val="00745D22"/>
    <w:rsid w:val="0074688A"/>
    <w:rsid w:val="00746B07"/>
    <w:rsid w:val="00746CD5"/>
    <w:rsid w:val="007471D2"/>
    <w:rsid w:val="00747489"/>
    <w:rsid w:val="00750EA8"/>
    <w:rsid w:val="0075180D"/>
    <w:rsid w:val="0075272B"/>
    <w:rsid w:val="00753467"/>
    <w:rsid w:val="007538B0"/>
    <w:rsid w:val="00753BA1"/>
    <w:rsid w:val="00753EE7"/>
    <w:rsid w:val="00753EE8"/>
    <w:rsid w:val="007561BA"/>
    <w:rsid w:val="00756590"/>
    <w:rsid w:val="00757245"/>
    <w:rsid w:val="00757764"/>
    <w:rsid w:val="0075797F"/>
    <w:rsid w:val="00757992"/>
    <w:rsid w:val="00760C4A"/>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09A5"/>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263A"/>
    <w:rsid w:val="00793F1B"/>
    <w:rsid w:val="00796E4D"/>
    <w:rsid w:val="007A0954"/>
    <w:rsid w:val="007A17D1"/>
    <w:rsid w:val="007A1AB8"/>
    <w:rsid w:val="007A3376"/>
    <w:rsid w:val="007A3B22"/>
    <w:rsid w:val="007A3BE1"/>
    <w:rsid w:val="007A3E01"/>
    <w:rsid w:val="007A4370"/>
    <w:rsid w:val="007A43DA"/>
    <w:rsid w:val="007A530D"/>
    <w:rsid w:val="007A5395"/>
    <w:rsid w:val="007A5412"/>
    <w:rsid w:val="007A5C5A"/>
    <w:rsid w:val="007A5C87"/>
    <w:rsid w:val="007A6401"/>
    <w:rsid w:val="007A75CF"/>
    <w:rsid w:val="007A76B1"/>
    <w:rsid w:val="007A7E66"/>
    <w:rsid w:val="007B030A"/>
    <w:rsid w:val="007B06C0"/>
    <w:rsid w:val="007B0996"/>
    <w:rsid w:val="007B11D9"/>
    <w:rsid w:val="007B1243"/>
    <w:rsid w:val="007B1377"/>
    <w:rsid w:val="007B17AE"/>
    <w:rsid w:val="007B1B7D"/>
    <w:rsid w:val="007B1D09"/>
    <w:rsid w:val="007B3517"/>
    <w:rsid w:val="007B3D2C"/>
    <w:rsid w:val="007B3D9C"/>
    <w:rsid w:val="007B4071"/>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D26"/>
    <w:rsid w:val="007C3EBC"/>
    <w:rsid w:val="007C4C8B"/>
    <w:rsid w:val="007C4D05"/>
    <w:rsid w:val="007C5200"/>
    <w:rsid w:val="007C5310"/>
    <w:rsid w:val="007C5A0B"/>
    <w:rsid w:val="007C611C"/>
    <w:rsid w:val="007C6447"/>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2EEE"/>
    <w:rsid w:val="007E32DD"/>
    <w:rsid w:val="007E33A2"/>
    <w:rsid w:val="007E34B6"/>
    <w:rsid w:val="007E39B1"/>
    <w:rsid w:val="007E4024"/>
    <w:rsid w:val="007E50F2"/>
    <w:rsid w:val="007E55D2"/>
    <w:rsid w:val="007E56C6"/>
    <w:rsid w:val="007E5D52"/>
    <w:rsid w:val="007E5DD7"/>
    <w:rsid w:val="007E7E96"/>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9CC"/>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252"/>
    <w:rsid w:val="0082049E"/>
    <w:rsid w:val="0082068A"/>
    <w:rsid w:val="008208D5"/>
    <w:rsid w:val="00820F76"/>
    <w:rsid w:val="00821399"/>
    <w:rsid w:val="008218FD"/>
    <w:rsid w:val="00821A26"/>
    <w:rsid w:val="00821D53"/>
    <w:rsid w:val="00821F5F"/>
    <w:rsid w:val="00822382"/>
    <w:rsid w:val="0082313A"/>
    <w:rsid w:val="008248FB"/>
    <w:rsid w:val="00824CD9"/>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57F92"/>
    <w:rsid w:val="0086266C"/>
    <w:rsid w:val="00862BB0"/>
    <w:rsid w:val="00862E92"/>
    <w:rsid w:val="0086370D"/>
    <w:rsid w:val="00863858"/>
    <w:rsid w:val="0086422D"/>
    <w:rsid w:val="00864687"/>
    <w:rsid w:val="008648E6"/>
    <w:rsid w:val="00864954"/>
    <w:rsid w:val="00865DE8"/>
    <w:rsid w:val="00866450"/>
    <w:rsid w:val="00866A7A"/>
    <w:rsid w:val="0086730E"/>
    <w:rsid w:val="00867BBA"/>
    <w:rsid w:val="008702B5"/>
    <w:rsid w:val="00870504"/>
    <w:rsid w:val="00871773"/>
    <w:rsid w:val="00871EC7"/>
    <w:rsid w:val="00873072"/>
    <w:rsid w:val="00873A7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689"/>
    <w:rsid w:val="00894D09"/>
    <w:rsid w:val="0089513A"/>
    <w:rsid w:val="0089551A"/>
    <w:rsid w:val="00895A21"/>
    <w:rsid w:val="00896C61"/>
    <w:rsid w:val="00896FC0"/>
    <w:rsid w:val="00897000"/>
    <w:rsid w:val="008971AD"/>
    <w:rsid w:val="008973B0"/>
    <w:rsid w:val="0089796E"/>
    <w:rsid w:val="00897E4A"/>
    <w:rsid w:val="008A021F"/>
    <w:rsid w:val="008A036F"/>
    <w:rsid w:val="008A073E"/>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0C8"/>
    <w:rsid w:val="008B4670"/>
    <w:rsid w:val="008B4F5F"/>
    <w:rsid w:val="008B50D4"/>
    <w:rsid w:val="008B5B1E"/>
    <w:rsid w:val="008B63A6"/>
    <w:rsid w:val="008B6403"/>
    <w:rsid w:val="008B78AB"/>
    <w:rsid w:val="008B7BEB"/>
    <w:rsid w:val="008C00A1"/>
    <w:rsid w:val="008C0D9C"/>
    <w:rsid w:val="008C210F"/>
    <w:rsid w:val="008C2148"/>
    <w:rsid w:val="008C23D8"/>
    <w:rsid w:val="008C262B"/>
    <w:rsid w:val="008C2A11"/>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3E3"/>
    <w:rsid w:val="008F1D2D"/>
    <w:rsid w:val="008F1D87"/>
    <w:rsid w:val="008F2C68"/>
    <w:rsid w:val="008F417C"/>
    <w:rsid w:val="008F41B5"/>
    <w:rsid w:val="008F4772"/>
    <w:rsid w:val="008F4F3F"/>
    <w:rsid w:val="008F54E2"/>
    <w:rsid w:val="008F5542"/>
    <w:rsid w:val="008F55EA"/>
    <w:rsid w:val="008F5EA5"/>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45F"/>
    <w:rsid w:val="00936FDF"/>
    <w:rsid w:val="009413D6"/>
    <w:rsid w:val="00941529"/>
    <w:rsid w:val="00942AB3"/>
    <w:rsid w:val="00942FEE"/>
    <w:rsid w:val="009432D9"/>
    <w:rsid w:val="0094349C"/>
    <w:rsid w:val="009436D4"/>
    <w:rsid w:val="009438CB"/>
    <w:rsid w:val="00943BA6"/>
    <w:rsid w:val="00943EAF"/>
    <w:rsid w:val="0094464C"/>
    <w:rsid w:val="009458E7"/>
    <w:rsid w:val="00945D1B"/>
    <w:rsid w:val="00947244"/>
    <w:rsid w:val="00947A50"/>
    <w:rsid w:val="00947CF8"/>
    <w:rsid w:val="009500DB"/>
    <w:rsid w:val="00950522"/>
    <w:rsid w:val="009507FC"/>
    <w:rsid w:val="009509C8"/>
    <w:rsid w:val="009527FF"/>
    <w:rsid w:val="00952E63"/>
    <w:rsid w:val="009531FA"/>
    <w:rsid w:val="009532A9"/>
    <w:rsid w:val="009534B9"/>
    <w:rsid w:val="009537F9"/>
    <w:rsid w:val="00953DE4"/>
    <w:rsid w:val="0095453E"/>
    <w:rsid w:val="009559D4"/>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0F0A"/>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6810"/>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5ADC"/>
    <w:rsid w:val="009A6800"/>
    <w:rsid w:val="009A6CC5"/>
    <w:rsid w:val="009A75E2"/>
    <w:rsid w:val="009A7855"/>
    <w:rsid w:val="009A7CC7"/>
    <w:rsid w:val="009A7F4F"/>
    <w:rsid w:val="009B09B2"/>
    <w:rsid w:val="009B1AB1"/>
    <w:rsid w:val="009B1B48"/>
    <w:rsid w:val="009B2217"/>
    <w:rsid w:val="009B4364"/>
    <w:rsid w:val="009B48DD"/>
    <w:rsid w:val="009B48E6"/>
    <w:rsid w:val="009B4B33"/>
    <w:rsid w:val="009B4E37"/>
    <w:rsid w:val="009B4E8D"/>
    <w:rsid w:val="009B50DE"/>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CA3"/>
    <w:rsid w:val="009C1F3F"/>
    <w:rsid w:val="009C2142"/>
    <w:rsid w:val="009C34D0"/>
    <w:rsid w:val="009C3A63"/>
    <w:rsid w:val="009C3F2D"/>
    <w:rsid w:val="009C3F84"/>
    <w:rsid w:val="009C6386"/>
    <w:rsid w:val="009C6975"/>
    <w:rsid w:val="009C6F48"/>
    <w:rsid w:val="009C78DA"/>
    <w:rsid w:val="009D0BF8"/>
    <w:rsid w:val="009D10ED"/>
    <w:rsid w:val="009D175E"/>
    <w:rsid w:val="009D1B18"/>
    <w:rsid w:val="009D2504"/>
    <w:rsid w:val="009D2CEB"/>
    <w:rsid w:val="009D319D"/>
    <w:rsid w:val="009D3258"/>
    <w:rsid w:val="009D35DE"/>
    <w:rsid w:val="009D3D15"/>
    <w:rsid w:val="009D523A"/>
    <w:rsid w:val="009D542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680"/>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065"/>
    <w:rsid w:val="00A04492"/>
    <w:rsid w:val="00A047E9"/>
    <w:rsid w:val="00A0486B"/>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5EC8"/>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1F7"/>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5FAB"/>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834"/>
    <w:rsid w:val="00A70A1D"/>
    <w:rsid w:val="00A7142B"/>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5F5E"/>
    <w:rsid w:val="00A7647B"/>
    <w:rsid w:val="00A76BAC"/>
    <w:rsid w:val="00A76C0D"/>
    <w:rsid w:val="00A77366"/>
    <w:rsid w:val="00A77B00"/>
    <w:rsid w:val="00A77BD4"/>
    <w:rsid w:val="00A80AE1"/>
    <w:rsid w:val="00A80CD8"/>
    <w:rsid w:val="00A817AE"/>
    <w:rsid w:val="00A81D58"/>
    <w:rsid w:val="00A83B53"/>
    <w:rsid w:val="00A8556A"/>
    <w:rsid w:val="00A855B7"/>
    <w:rsid w:val="00A86126"/>
    <w:rsid w:val="00A866B0"/>
    <w:rsid w:val="00A8696E"/>
    <w:rsid w:val="00A871C8"/>
    <w:rsid w:val="00A87394"/>
    <w:rsid w:val="00A87663"/>
    <w:rsid w:val="00A8770C"/>
    <w:rsid w:val="00A87B31"/>
    <w:rsid w:val="00A909F3"/>
    <w:rsid w:val="00A91511"/>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68B"/>
    <w:rsid w:val="00AA4B17"/>
    <w:rsid w:val="00AA522C"/>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6A3"/>
    <w:rsid w:val="00AB2C23"/>
    <w:rsid w:val="00AB473D"/>
    <w:rsid w:val="00AB4BF2"/>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963"/>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550"/>
    <w:rsid w:val="00AF7987"/>
    <w:rsid w:val="00B0052D"/>
    <w:rsid w:val="00B01227"/>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4198"/>
    <w:rsid w:val="00B1572C"/>
    <w:rsid w:val="00B1578B"/>
    <w:rsid w:val="00B1591E"/>
    <w:rsid w:val="00B159D2"/>
    <w:rsid w:val="00B15E3D"/>
    <w:rsid w:val="00B1696D"/>
    <w:rsid w:val="00B1717E"/>
    <w:rsid w:val="00B17484"/>
    <w:rsid w:val="00B1767D"/>
    <w:rsid w:val="00B176DB"/>
    <w:rsid w:val="00B17AE4"/>
    <w:rsid w:val="00B17D9B"/>
    <w:rsid w:val="00B20449"/>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1484"/>
    <w:rsid w:val="00B31A57"/>
    <w:rsid w:val="00B32B1C"/>
    <w:rsid w:val="00B334A6"/>
    <w:rsid w:val="00B33DD8"/>
    <w:rsid w:val="00B340D7"/>
    <w:rsid w:val="00B34191"/>
    <w:rsid w:val="00B34794"/>
    <w:rsid w:val="00B34C8B"/>
    <w:rsid w:val="00B3556B"/>
    <w:rsid w:val="00B36817"/>
    <w:rsid w:val="00B37905"/>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47237"/>
    <w:rsid w:val="00B5033A"/>
    <w:rsid w:val="00B51222"/>
    <w:rsid w:val="00B51FDC"/>
    <w:rsid w:val="00B52C11"/>
    <w:rsid w:val="00B52C58"/>
    <w:rsid w:val="00B53870"/>
    <w:rsid w:val="00B53A3A"/>
    <w:rsid w:val="00B54285"/>
    <w:rsid w:val="00B55111"/>
    <w:rsid w:val="00B55F02"/>
    <w:rsid w:val="00B566A1"/>
    <w:rsid w:val="00B56A91"/>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67F78"/>
    <w:rsid w:val="00B70618"/>
    <w:rsid w:val="00B70945"/>
    <w:rsid w:val="00B709E1"/>
    <w:rsid w:val="00B70E53"/>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2275"/>
    <w:rsid w:val="00B84842"/>
    <w:rsid w:val="00B85413"/>
    <w:rsid w:val="00B85801"/>
    <w:rsid w:val="00B86E2E"/>
    <w:rsid w:val="00B87968"/>
    <w:rsid w:val="00B87B29"/>
    <w:rsid w:val="00B87DE7"/>
    <w:rsid w:val="00B903F6"/>
    <w:rsid w:val="00B911BE"/>
    <w:rsid w:val="00B91BDC"/>
    <w:rsid w:val="00B91D41"/>
    <w:rsid w:val="00B92B25"/>
    <w:rsid w:val="00B92DCA"/>
    <w:rsid w:val="00B9379A"/>
    <w:rsid w:val="00B943E6"/>
    <w:rsid w:val="00B9479F"/>
    <w:rsid w:val="00B95EC4"/>
    <w:rsid w:val="00B9635E"/>
    <w:rsid w:val="00B969D1"/>
    <w:rsid w:val="00B9746E"/>
    <w:rsid w:val="00B979F9"/>
    <w:rsid w:val="00B97E35"/>
    <w:rsid w:val="00BA0874"/>
    <w:rsid w:val="00BA0B0A"/>
    <w:rsid w:val="00BA227A"/>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A1"/>
    <w:rsid w:val="00BB47B5"/>
    <w:rsid w:val="00BB4BE0"/>
    <w:rsid w:val="00BB57AA"/>
    <w:rsid w:val="00BB6587"/>
    <w:rsid w:val="00BB69EA"/>
    <w:rsid w:val="00BB77A7"/>
    <w:rsid w:val="00BB7B80"/>
    <w:rsid w:val="00BB7CF2"/>
    <w:rsid w:val="00BC08A4"/>
    <w:rsid w:val="00BC18FA"/>
    <w:rsid w:val="00BC1BE2"/>
    <w:rsid w:val="00BC3A5F"/>
    <w:rsid w:val="00BC3E61"/>
    <w:rsid w:val="00BC4154"/>
    <w:rsid w:val="00BC4823"/>
    <w:rsid w:val="00BC5379"/>
    <w:rsid w:val="00BC56D8"/>
    <w:rsid w:val="00BC58B7"/>
    <w:rsid w:val="00BD0CE9"/>
    <w:rsid w:val="00BD0E1B"/>
    <w:rsid w:val="00BD0EB4"/>
    <w:rsid w:val="00BD1457"/>
    <w:rsid w:val="00BD1680"/>
    <w:rsid w:val="00BD32A8"/>
    <w:rsid w:val="00BD4547"/>
    <w:rsid w:val="00BD4DB7"/>
    <w:rsid w:val="00BD4DD8"/>
    <w:rsid w:val="00BD579D"/>
    <w:rsid w:val="00BD5836"/>
    <w:rsid w:val="00BD61E0"/>
    <w:rsid w:val="00BD6DED"/>
    <w:rsid w:val="00BD70D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547"/>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0C1"/>
    <w:rsid w:val="00C02690"/>
    <w:rsid w:val="00C02718"/>
    <w:rsid w:val="00C027B5"/>
    <w:rsid w:val="00C0322F"/>
    <w:rsid w:val="00C0351A"/>
    <w:rsid w:val="00C0393D"/>
    <w:rsid w:val="00C04044"/>
    <w:rsid w:val="00C04423"/>
    <w:rsid w:val="00C046CC"/>
    <w:rsid w:val="00C047CC"/>
    <w:rsid w:val="00C04A7E"/>
    <w:rsid w:val="00C04F39"/>
    <w:rsid w:val="00C0511D"/>
    <w:rsid w:val="00C053D0"/>
    <w:rsid w:val="00C0604D"/>
    <w:rsid w:val="00C06334"/>
    <w:rsid w:val="00C066D6"/>
    <w:rsid w:val="00C06EA3"/>
    <w:rsid w:val="00C073AB"/>
    <w:rsid w:val="00C076C2"/>
    <w:rsid w:val="00C07A1C"/>
    <w:rsid w:val="00C07F18"/>
    <w:rsid w:val="00C10421"/>
    <w:rsid w:val="00C1073A"/>
    <w:rsid w:val="00C10B46"/>
    <w:rsid w:val="00C10CA7"/>
    <w:rsid w:val="00C1157A"/>
    <w:rsid w:val="00C11882"/>
    <w:rsid w:val="00C11E5B"/>
    <w:rsid w:val="00C12E28"/>
    <w:rsid w:val="00C1345C"/>
    <w:rsid w:val="00C138D0"/>
    <w:rsid w:val="00C13C4B"/>
    <w:rsid w:val="00C144BD"/>
    <w:rsid w:val="00C14AF3"/>
    <w:rsid w:val="00C15210"/>
    <w:rsid w:val="00C155B5"/>
    <w:rsid w:val="00C16B4B"/>
    <w:rsid w:val="00C16F29"/>
    <w:rsid w:val="00C17404"/>
    <w:rsid w:val="00C175A7"/>
    <w:rsid w:val="00C201B3"/>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6BF"/>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2D5E"/>
    <w:rsid w:val="00C43A51"/>
    <w:rsid w:val="00C44FD3"/>
    <w:rsid w:val="00C45C7F"/>
    <w:rsid w:val="00C46327"/>
    <w:rsid w:val="00C463D0"/>
    <w:rsid w:val="00C465C4"/>
    <w:rsid w:val="00C46721"/>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742"/>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7BE"/>
    <w:rsid w:val="00C728DF"/>
    <w:rsid w:val="00C72B4B"/>
    <w:rsid w:val="00C72DF1"/>
    <w:rsid w:val="00C72E79"/>
    <w:rsid w:val="00C72F8B"/>
    <w:rsid w:val="00C735C2"/>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17C"/>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506"/>
    <w:rsid w:val="00CB45A7"/>
    <w:rsid w:val="00CB4766"/>
    <w:rsid w:val="00CB53A2"/>
    <w:rsid w:val="00CB5410"/>
    <w:rsid w:val="00CB5D14"/>
    <w:rsid w:val="00CB64DC"/>
    <w:rsid w:val="00CB6952"/>
    <w:rsid w:val="00CB7FE9"/>
    <w:rsid w:val="00CC0417"/>
    <w:rsid w:val="00CC23F7"/>
    <w:rsid w:val="00CC2F28"/>
    <w:rsid w:val="00CC347D"/>
    <w:rsid w:val="00CC3615"/>
    <w:rsid w:val="00CC3B82"/>
    <w:rsid w:val="00CC6521"/>
    <w:rsid w:val="00CC71EE"/>
    <w:rsid w:val="00CC757E"/>
    <w:rsid w:val="00CC78DB"/>
    <w:rsid w:val="00CD06F9"/>
    <w:rsid w:val="00CD077C"/>
    <w:rsid w:val="00CD19B9"/>
    <w:rsid w:val="00CD2ACB"/>
    <w:rsid w:val="00CD3600"/>
    <w:rsid w:val="00CD3BD3"/>
    <w:rsid w:val="00CD3D26"/>
    <w:rsid w:val="00CD4174"/>
    <w:rsid w:val="00CD4461"/>
    <w:rsid w:val="00CD4688"/>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1B"/>
    <w:rsid w:val="00CE0EDE"/>
    <w:rsid w:val="00CE1707"/>
    <w:rsid w:val="00CE190B"/>
    <w:rsid w:val="00CE1AB8"/>
    <w:rsid w:val="00CE1DB4"/>
    <w:rsid w:val="00CE1DBB"/>
    <w:rsid w:val="00CE3033"/>
    <w:rsid w:val="00CE3B2B"/>
    <w:rsid w:val="00CE4028"/>
    <w:rsid w:val="00CE4956"/>
    <w:rsid w:val="00CE526B"/>
    <w:rsid w:val="00CE53F4"/>
    <w:rsid w:val="00CE57FC"/>
    <w:rsid w:val="00CE5A8B"/>
    <w:rsid w:val="00CE5CF9"/>
    <w:rsid w:val="00CE5FD7"/>
    <w:rsid w:val="00CE6044"/>
    <w:rsid w:val="00CE63D5"/>
    <w:rsid w:val="00CE7246"/>
    <w:rsid w:val="00CE7A3D"/>
    <w:rsid w:val="00CE7C49"/>
    <w:rsid w:val="00CE7FFC"/>
    <w:rsid w:val="00CF019C"/>
    <w:rsid w:val="00CF1559"/>
    <w:rsid w:val="00CF1E29"/>
    <w:rsid w:val="00CF1E4C"/>
    <w:rsid w:val="00CF250E"/>
    <w:rsid w:val="00CF3B52"/>
    <w:rsid w:val="00CF3C81"/>
    <w:rsid w:val="00CF3E18"/>
    <w:rsid w:val="00CF415F"/>
    <w:rsid w:val="00CF4A6A"/>
    <w:rsid w:val="00CF57A4"/>
    <w:rsid w:val="00CF5DAA"/>
    <w:rsid w:val="00CF63CE"/>
    <w:rsid w:val="00CF705D"/>
    <w:rsid w:val="00CF7449"/>
    <w:rsid w:val="00D004EE"/>
    <w:rsid w:val="00D01837"/>
    <w:rsid w:val="00D01DF3"/>
    <w:rsid w:val="00D03750"/>
    <w:rsid w:val="00D03782"/>
    <w:rsid w:val="00D03A66"/>
    <w:rsid w:val="00D03D8D"/>
    <w:rsid w:val="00D04192"/>
    <w:rsid w:val="00D0461B"/>
    <w:rsid w:val="00D0619F"/>
    <w:rsid w:val="00D062F9"/>
    <w:rsid w:val="00D0770E"/>
    <w:rsid w:val="00D07C5E"/>
    <w:rsid w:val="00D12679"/>
    <w:rsid w:val="00D12A21"/>
    <w:rsid w:val="00D1354C"/>
    <w:rsid w:val="00D13B18"/>
    <w:rsid w:val="00D145CD"/>
    <w:rsid w:val="00D145F6"/>
    <w:rsid w:val="00D1479C"/>
    <w:rsid w:val="00D147FA"/>
    <w:rsid w:val="00D14A56"/>
    <w:rsid w:val="00D14C16"/>
    <w:rsid w:val="00D14D58"/>
    <w:rsid w:val="00D150CE"/>
    <w:rsid w:val="00D15AE6"/>
    <w:rsid w:val="00D1607E"/>
    <w:rsid w:val="00D1624C"/>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AE1"/>
    <w:rsid w:val="00D25137"/>
    <w:rsid w:val="00D25245"/>
    <w:rsid w:val="00D26B6C"/>
    <w:rsid w:val="00D26D7D"/>
    <w:rsid w:val="00D27138"/>
    <w:rsid w:val="00D27635"/>
    <w:rsid w:val="00D279FE"/>
    <w:rsid w:val="00D27A47"/>
    <w:rsid w:val="00D30EBA"/>
    <w:rsid w:val="00D319D7"/>
    <w:rsid w:val="00D31E4B"/>
    <w:rsid w:val="00D31F69"/>
    <w:rsid w:val="00D32168"/>
    <w:rsid w:val="00D3232B"/>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B27"/>
    <w:rsid w:val="00D42058"/>
    <w:rsid w:val="00D4226B"/>
    <w:rsid w:val="00D4265E"/>
    <w:rsid w:val="00D42888"/>
    <w:rsid w:val="00D42D9A"/>
    <w:rsid w:val="00D43636"/>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6AB5"/>
    <w:rsid w:val="00D77760"/>
    <w:rsid w:val="00D77AE9"/>
    <w:rsid w:val="00D80048"/>
    <w:rsid w:val="00D80D2A"/>
    <w:rsid w:val="00D81476"/>
    <w:rsid w:val="00D8287C"/>
    <w:rsid w:val="00D83857"/>
    <w:rsid w:val="00D8516A"/>
    <w:rsid w:val="00D856EB"/>
    <w:rsid w:val="00D86081"/>
    <w:rsid w:val="00D866FB"/>
    <w:rsid w:val="00D86FA3"/>
    <w:rsid w:val="00D87901"/>
    <w:rsid w:val="00D87F6E"/>
    <w:rsid w:val="00D90404"/>
    <w:rsid w:val="00D90582"/>
    <w:rsid w:val="00D905EC"/>
    <w:rsid w:val="00D90A7E"/>
    <w:rsid w:val="00D90D09"/>
    <w:rsid w:val="00D91398"/>
    <w:rsid w:val="00D9153B"/>
    <w:rsid w:val="00D91760"/>
    <w:rsid w:val="00D91FB4"/>
    <w:rsid w:val="00D928B5"/>
    <w:rsid w:val="00D9304A"/>
    <w:rsid w:val="00D9325F"/>
    <w:rsid w:val="00D9327C"/>
    <w:rsid w:val="00D9389A"/>
    <w:rsid w:val="00D93BB6"/>
    <w:rsid w:val="00D93C41"/>
    <w:rsid w:val="00D94EB8"/>
    <w:rsid w:val="00D957B5"/>
    <w:rsid w:val="00D95E58"/>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7E"/>
    <w:rsid w:val="00DB62A7"/>
    <w:rsid w:val="00DB7A6D"/>
    <w:rsid w:val="00DB7A88"/>
    <w:rsid w:val="00DC01E5"/>
    <w:rsid w:val="00DC064A"/>
    <w:rsid w:val="00DC0FA2"/>
    <w:rsid w:val="00DC1AF1"/>
    <w:rsid w:val="00DC1E36"/>
    <w:rsid w:val="00DC292E"/>
    <w:rsid w:val="00DC3064"/>
    <w:rsid w:val="00DC3399"/>
    <w:rsid w:val="00DC3BB0"/>
    <w:rsid w:val="00DC3F37"/>
    <w:rsid w:val="00DC40C7"/>
    <w:rsid w:val="00DC5195"/>
    <w:rsid w:val="00DC5971"/>
    <w:rsid w:val="00DC718F"/>
    <w:rsid w:val="00DD1C7C"/>
    <w:rsid w:val="00DD281F"/>
    <w:rsid w:val="00DD2832"/>
    <w:rsid w:val="00DD302F"/>
    <w:rsid w:val="00DD32C5"/>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3FE2"/>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51A9"/>
    <w:rsid w:val="00DF54F8"/>
    <w:rsid w:val="00DF5AB6"/>
    <w:rsid w:val="00DF5F07"/>
    <w:rsid w:val="00DF687F"/>
    <w:rsid w:val="00DF7618"/>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AAC"/>
    <w:rsid w:val="00E11FC3"/>
    <w:rsid w:val="00E12C2B"/>
    <w:rsid w:val="00E1300E"/>
    <w:rsid w:val="00E132DA"/>
    <w:rsid w:val="00E1424D"/>
    <w:rsid w:val="00E14276"/>
    <w:rsid w:val="00E14ECA"/>
    <w:rsid w:val="00E15045"/>
    <w:rsid w:val="00E150D3"/>
    <w:rsid w:val="00E1558A"/>
    <w:rsid w:val="00E16020"/>
    <w:rsid w:val="00E174B0"/>
    <w:rsid w:val="00E20208"/>
    <w:rsid w:val="00E202D7"/>
    <w:rsid w:val="00E20458"/>
    <w:rsid w:val="00E206B0"/>
    <w:rsid w:val="00E2140F"/>
    <w:rsid w:val="00E2163F"/>
    <w:rsid w:val="00E22772"/>
    <w:rsid w:val="00E234CA"/>
    <w:rsid w:val="00E24AC1"/>
    <w:rsid w:val="00E25645"/>
    <w:rsid w:val="00E25BD5"/>
    <w:rsid w:val="00E26020"/>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3E7"/>
    <w:rsid w:val="00E45D08"/>
    <w:rsid w:val="00E4657E"/>
    <w:rsid w:val="00E465D3"/>
    <w:rsid w:val="00E46B67"/>
    <w:rsid w:val="00E470B0"/>
    <w:rsid w:val="00E47AA6"/>
    <w:rsid w:val="00E47C74"/>
    <w:rsid w:val="00E47F9C"/>
    <w:rsid w:val="00E50119"/>
    <w:rsid w:val="00E51458"/>
    <w:rsid w:val="00E51E26"/>
    <w:rsid w:val="00E52632"/>
    <w:rsid w:val="00E53A97"/>
    <w:rsid w:val="00E5455E"/>
    <w:rsid w:val="00E554E5"/>
    <w:rsid w:val="00E55ED8"/>
    <w:rsid w:val="00E56337"/>
    <w:rsid w:val="00E5668D"/>
    <w:rsid w:val="00E56DF6"/>
    <w:rsid w:val="00E57575"/>
    <w:rsid w:val="00E579FF"/>
    <w:rsid w:val="00E57F38"/>
    <w:rsid w:val="00E60491"/>
    <w:rsid w:val="00E60A9B"/>
    <w:rsid w:val="00E60CA6"/>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5B"/>
    <w:rsid w:val="00E71E9C"/>
    <w:rsid w:val="00E72055"/>
    <w:rsid w:val="00E7218C"/>
    <w:rsid w:val="00E7219F"/>
    <w:rsid w:val="00E7280D"/>
    <w:rsid w:val="00E7292F"/>
    <w:rsid w:val="00E72B75"/>
    <w:rsid w:val="00E738D1"/>
    <w:rsid w:val="00E73D4C"/>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2808"/>
    <w:rsid w:val="00E83542"/>
    <w:rsid w:val="00E83A20"/>
    <w:rsid w:val="00E84723"/>
    <w:rsid w:val="00E8527A"/>
    <w:rsid w:val="00E85A9B"/>
    <w:rsid w:val="00E86EAD"/>
    <w:rsid w:val="00E8700F"/>
    <w:rsid w:val="00E87338"/>
    <w:rsid w:val="00E90C81"/>
    <w:rsid w:val="00E90D2C"/>
    <w:rsid w:val="00E918C5"/>
    <w:rsid w:val="00E931A9"/>
    <w:rsid w:val="00E941C4"/>
    <w:rsid w:val="00E94442"/>
    <w:rsid w:val="00E9466A"/>
    <w:rsid w:val="00E94D67"/>
    <w:rsid w:val="00E962E0"/>
    <w:rsid w:val="00E963BB"/>
    <w:rsid w:val="00E96863"/>
    <w:rsid w:val="00E976CD"/>
    <w:rsid w:val="00EA0127"/>
    <w:rsid w:val="00EA0157"/>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1FF5"/>
    <w:rsid w:val="00EC2632"/>
    <w:rsid w:val="00EC2E88"/>
    <w:rsid w:val="00EC4005"/>
    <w:rsid w:val="00EC422A"/>
    <w:rsid w:val="00EC427C"/>
    <w:rsid w:val="00EC4680"/>
    <w:rsid w:val="00EC491D"/>
    <w:rsid w:val="00EC4948"/>
    <w:rsid w:val="00EC4A2F"/>
    <w:rsid w:val="00EC4BDD"/>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6572"/>
    <w:rsid w:val="00ED7338"/>
    <w:rsid w:val="00ED7559"/>
    <w:rsid w:val="00EE0C47"/>
    <w:rsid w:val="00EE0E08"/>
    <w:rsid w:val="00EE167F"/>
    <w:rsid w:val="00EE1BDB"/>
    <w:rsid w:val="00EE1C82"/>
    <w:rsid w:val="00EE2341"/>
    <w:rsid w:val="00EE37ED"/>
    <w:rsid w:val="00EE3C23"/>
    <w:rsid w:val="00EE3E29"/>
    <w:rsid w:val="00EE3FDF"/>
    <w:rsid w:val="00EE4E6A"/>
    <w:rsid w:val="00EE544E"/>
    <w:rsid w:val="00EE6057"/>
    <w:rsid w:val="00EE6D56"/>
    <w:rsid w:val="00EE6EB7"/>
    <w:rsid w:val="00EE7722"/>
    <w:rsid w:val="00EE7744"/>
    <w:rsid w:val="00EF0098"/>
    <w:rsid w:val="00EF0AA1"/>
    <w:rsid w:val="00EF0FBB"/>
    <w:rsid w:val="00EF1BDB"/>
    <w:rsid w:val="00EF3BB2"/>
    <w:rsid w:val="00EF400D"/>
    <w:rsid w:val="00EF4764"/>
    <w:rsid w:val="00EF48F8"/>
    <w:rsid w:val="00EF49E9"/>
    <w:rsid w:val="00EF5D57"/>
    <w:rsid w:val="00EF6597"/>
    <w:rsid w:val="00EF6CBA"/>
    <w:rsid w:val="00EF6CEC"/>
    <w:rsid w:val="00EF6D18"/>
    <w:rsid w:val="00EF6E09"/>
    <w:rsid w:val="00EF6F80"/>
    <w:rsid w:val="00EF77C5"/>
    <w:rsid w:val="00F0028D"/>
    <w:rsid w:val="00F00F77"/>
    <w:rsid w:val="00F010D5"/>
    <w:rsid w:val="00F0135B"/>
    <w:rsid w:val="00F01FCF"/>
    <w:rsid w:val="00F02088"/>
    <w:rsid w:val="00F02148"/>
    <w:rsid w:val="00F0214A"/>
    <w:rsid w:val="00F0228B"/>
    <w:rsid w:val="00F02760"/>
    <w:rsid w:val="00F02A8B"/>
    <w:rsid w:val="00F032AA"/>
    <w:rsid w:val="00F04538"/>
    <w:rsid w:val="00F04995"/>
    <w:rsid w:val="00F05452"/>
    <w:rsid w:val="00F05490"/>
    <w:rsid w:val="00F06C2B"/>
    <w:rsid w:val="00F079DD"/>
    <w:rsid w:val="00F07C7A"/>
    <w:rsid w:val="00F100C5"/>
    <w:rsid w:val="00F101F8"/>
    <w:rsid w:val="00F10287"/>
    <w:rsid w:val="00F104F4"/>
    <w:rsid w:val="00F10CF8"/>
    <w:rsid w:val="00F10F8C"/>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C90"/>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1948"/>
    <w:rsid w:val="00F32636"/>
    <w:rsid w:val="00F32659"/>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3370"/>
    <w:rsid w:val="00F53942"/>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2390"/>
    <w:rsid w:val="00F63275"/>
    <w:rsid w:val="00F63483"/>
    <w:rsid w:val="00F642E8"/>
    <w:rsid w:val="00F662FE"/>
    <w:rsid w:val="00F665F6"/>
    <w:rsid w:val="00F66E03"/>
    <w:rsid w:val="00F6755A"/>
    <w:rsid w:val="00F67B6B"/>
    <w:rsid w:val="00F70DAC"/>
    <w:rsid w:val="00F70E80"/>
    <w:rsid w:val="00F716E4"/>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6DF2"/>
    <w:rsid w:val="00F77961"/>
    <w:rsid w:val="00F77D09"/>
    <w:rsid w:val="00F80342"/>
    <w:rsid w:val="00F807F2"/>
    <w:rsid w:val="00F807FE"/>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6BA"/>
    <w:rsid w:val="00FC6800"/>
    <w:rsid w:val="00FC6BFC"/>
    <w:rsid w:val="00FD0453"/>
    <w:rsid w:val="00FD0ABD"/>
    <w:rsid w:val="00FD1146"/>
    <w:rsid w:val="00FD189F"/>
    <w:rsid w:val="00FD1E3B"/>
    <w:rsid w:val="00FD39E4"/>
    <w:rsid w:val="00FD3FC1"/>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EC1F"/>
  <w15:docId w15:val="{6658FA02-5615-4618-8506-FEE4A3EA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407C"/>
    <w:pPr>
      <w:keepNext/>
      <w:spacing w:before="240" w:after="60"/>
      <w:outlineLvl w:val="0"/>
    </w:pPr>
    <w:rPr>
      <w:rFonts w:ascii="Cambria" w:eastAsia="Times New Roman" w:hAnsi="Cambria" w:cs="Times New Roman"/>
      <w:b/>
      <w:bCs/>
      <w:kern w:val="32"/>
      <w:sz w:val="32"/>
      <w:szCs w:val="32"/>
      <w:lang w:val="en-US"/>
    </w:rPr>
  </w:style>
  <w:style w:type="paragraph" w:styleId="2">
    <w:name w:val="heading 2"/>
    <w:basedOn w:val="a"/>
    <w:next w:val="a"/>
    <w:link w:val="20"/>
    <w:uiPriority w:val="9"/>
    <w:semiHidden/>
    <w:unhideWhenUsed/>
    <w:qFormat/>
    <w:rsid w:val="0003407C"/>
    <w:pPr>
      <w:keepNext/>
      <w:spacing w:before="240" w:after="60"/>
      <w:outlineLvl w:val="1"/>
    </w:pPr>
    <w:rPr>
      <w:rFonts w:ascii="Cambria" w:eastAsia="Times New Roman" w:hAnsi="Cambria" w:cs="Times New Roman"/>
      <w:b/>
      <w:bCs/>
      <w:i/>
      <w:iCs/>
      <w:sz w:val="28"/>
      <w:szCs w:val="28"/>
      <w:lang w:val="en-US"/>
    </w:rPr>
  </w:style>
  <w:style w:type="paragraph" w:styleId="3">
    <w:name w:val="heading 3"/>
    <w:basedOn w:val="a"/>
    <w:next w:val="a"/>
    <w:link w:val="30"/>
    <w:uiPriority w:val="9"/>
    <w:semiHidden/>
    <w:unhideWhenUsed/>
    <w:qFormat/>
    <w:rsid w:val="0003407C"/>
    <w:pPr>
      <w:keepNext/>
      <w:spacing w:before="240" w:after="60"/>
      <w:outlineLvl w:val="2"/>
    </w:pPr>
    <w:rPr>
      <w:rFonts w:ascii="Cambria" w:eastAsia="Times New Roman" w:hAnsi="Cambria" w:cs="Times New Roman"/>
      <w:b/>
      <w:bCs/>
      <w:sz w:val="26"/>
      <w:szCs w:val="26"/>
      <w:lang w:val="en-US"/>
    </w:rPr>
  </w:style>
  <w:style w:type="paragraph" w:styleId="4">
    <w:name w:val="heading 4"/>
    <w:basedOn w:val="a"/>
    <w:next w:val="a"/>
    <w:link w:val="40"/>
    <w:qFormat/>
    <w:rsid w:val="0003407C"/>
    <w:pPr>
      <w:keepNext/>
      <w:spacing w:after="0" w:line="240" w:lineRule="auto"/>
      <w:jc w:val="both"/>
      <w:outlineLvl w:val="3"/>
    </w:pPr>
    <w:rPr>
      <w:rFonts w:ascii="Times New Roman" w:eastAsia="Times New Roman" w:hAnsi="Times New Roman" w:cs="Times New Roman"/>
      <w:sz w:val="24"/>
      <w:szCs w:val="24"/>
      <w:u w:val="single"/>
      <w:lang w:val="uk-UA" w:eastAsia="x-none"/>
    </w:rPr>
  </w:style>
  <w:style w:type="paragraph" w:styleId="5">
    <w:name w:val="heading 5"/>
    <w:basedOn w:val="a"/>
    <w:next w:val="a"/>
    <w:link w:val="50"/>
    <w:uiPriority w:val="9"/>
    <w:semiHidden/>
    <w:unhideWhenUsed/>
    <w:qFormat/>
    <w:rsid w:val="0003407C"/>
    <w:pPr>
      <w:spacing w:before="240" w:after="60"/>
      <w:outlineLvl w:val="4"/>
    </w:pPr>
    <w:rPr>
      <w:rFonts w:ascii="Calibri" w:eastAsia="Times New Roman" w:hAnsi="Calibri"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customStyle="1" w:styleId="a4">
    <w:name w:val="Без інтервалів"/>
    <w:uiPriority w:val="1"/>
    <w:qFormat/>
    <w:rsid w:val="00745D22"/>
    <w:pPr>
      <w:spacing w:after="0" w:line="240" w:lineRule="auto"/>
    </w:pPr>
    <w:rPr>
      <w:rFonts w:ascii="Calibri" w:eastAsia="Calibri" w:hAnsi="Calibri" w:cs="Times New Roman"/>
      <w:lang w:val="en-US"/>
    </w:rPr>
  </w:style>
  <w:style w:type="paragraph" w:customStyle="1" w:styleId="Text1">
    <w:name w:val="Text 1"/>
    <w:basedOn w:val="a"/>
    <w:rsid w:val="0022123A"/>
    <w:pPr>
      <w:autoSpaceDE w:val="0"/>
      <w:autoSpaceDN w:val="0"/>
      <w:adjustRightInd w:val="0"/>
      <w:spacing w:before="120" w:after="0" w:line="240" w:lineRule="auto"/>
    </w:pPr>
    <w:rPr>
      <w:rFonts w:ascii="Arial" w:eastAsia="Times New Roman" w:hAnsi="Arial" w:cs="Times New Roman"/>
      <w:sz w:val="24"/>
      <w:szCs w:val="20"/>
      <w:lang w:val="en-US" w:eastAsia="en-GB"/>
    </w:rPr>
  </w:style>
  <w:style w:type="character" w:customStyle="1" w:styleId="10">
    <w:name w:val="Заголовок 1 Знак"/>
    <w:basedOn w:val="a0"/>
    <w:link w:val="1"/>
    <w:uiPriority w:val="9"/>
    <w:rsid w:val="0003407C"/>
    <w:rPr>
      <w:rFonts w:ascii="Cambria" w:eastAsia="Times New Roman" w:hAnsi="Cambria" w:cs="Times New Roman"/>
      <w:b/>
      <w:bCs/>
      <w:kern w:val="32"/>
      <w:sz w:val="32"/>
      <w:szCs w:val="32"/>
      <w:lang w:val="en-US"/>
    </w:rPr>
  </w:style>
  <w:style w:type="character" w:customStyle="1" w:styleId="20">
    <w:name w:val="Заголовок 2 Знак"/>
    <w:basedOn w:val="a0"/>
    <w:link w:val="2"/>
    <w:uiPriority w:val="9"/>
    <w:semiHidden/>
    <w:rsid w:val="0003407C"/>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semiHidden/>
    <w:rsid w:val="0003407C"/>
    <w:rPr>
      <w:rFonts w:ascii="Cambria" w:eastAsia="Times New Roman" w:hAnsi="Cambria" w:cs="Times New Roman"/>
      <w:b/>
      <w:bCs/>
      <w:sz w:val="26"/>
      <w:szCs w:val="26"/>
      <w:lang w:val="en-US"/>
    </w:rPr>
  </w:style>
  <w:style w:type="character" w:customStyle="1" w:styleId="40">
    <w:name w:val="Заголовок 4 Знак"/>
    <w:basedOn w:val="a0"/>
    <w:link w:val="4"/>
    <w:rsid w:val="0003407C"/>
    <w:rPr>
      <w:rFonts w:ascii="Times New Roman" w:eastAsia="Times New Roman" w:hAnsi="Times New Roman" w:cs="Times New Roman"/>
      <w:sz w:val="24"/>
      <w:szCs w:val="24"/>
      <w:u w:val="single"/>
      <w:lang w:val="uk-UA" w:eastAsia="x-none"/>
    </w:rPr>
  </w:style>
  <w:style w:type="character" w:customStyle="1" w:styleId="50">
    <w:name w:val="Заголовок 5 Знак"/>
    <w:basedOn w:val="a0"/>
    <w:link w:val="5"/>
    <w:uiPriority w:val="9"/>
    <w:semiHidden/>
    <w:rsid w:val="0003407C"/>
    <w:rPr>
      <w:rFonts w:ascii="Calibri" w:eastAsia="Times New Roman" w:hAnsi="Calibri" w:cs="Times New Roman"/>
      <w:b/>
      <w:bCs/>
      <w:i/>
      <w:iCs/>
      <w:sz w:val="26"/>
      <w:szCs w:val="26"/>
      <w:lang w:val="en-US"/>
    </w:rPr>
  </w:style>
  <w:style w:type="numbering" w:customStyle="1" w:styleId="11">
    <w:name w:val="Нет списка1"/>
    <w:next w:val="a2"/>
    <w:uiPriority w:val="99"/>
    <w:semiHidden/>
    <w:unhideWhenUsed/>
    <w:rsid w:val="0003407C"/>
  </w:style>
  <w:style w:type="paragraph" w:styleId="a5">
    <w:name w:val="footer"/>
    <w:basedOn w:val="a"/>
    <w:link w:val="a6"/>
    <w:rsid w:val="0003407C"/>
    <w:pPr>
      <w:tabs>
        <w:tab w:val="center" w:pos="4677"/>
        <w:tab w:val="right" w:pos="9355"/>
      </w:tabs>
    </w:pPr>
    <w:rPr>
      <w:rFonts w:ascii="Calibri" w:eastAsia="Calibri" w:hAnsi="Calibri" w:cs="Times New Roman"/>
      <w:lang w:val="en-US"/>
    </w:rPr>
  </w:style>
  <w:style w:type="character" w:customStyle="1" w:styleId="a6">
    <w:name w:val="Нижний колонтитул Знак"/>
    <w:basedOn w:val="a0"/>
    <w:link w:val="a5"/>
    <w:rsid w:val="0003407C"/>
    <w:rPr>
      <w:rFonts w:ascii="Calibri" w:eastAsia="Calibri" w:hAnsi="Calibri" w:cs="Times New Roman"/>
      <w:lang w:val="en-US"/>
    </w:rPr>
  </w:style>
  <w:style w:type="character" w:styleId="a7">
    <w:name w:val="page number"/>
    <w:basedOn w:val="a0"/>
    <w:rsid w:val="0003407C"/>
  </w:style>
  <w:style w:type="paragraph" w:styleId="a8">
    <w:name w:val="Balloon Text"/>
    <w:basedOn w:val="a"/>
    <w:link w:val="a9"/>
    <w:semiHidden/>
    <w:rsid w:val="0003407C"/>
    <w:rPr>
      <w:rFonts w:ascii="Tahoma" w:eastAsia="Calibri" w:hAnsi="Tahoma" w:cs="Tahoma"/>
      <w:sz w:val="16"/>
      <w:szCs w:val="16"/>
      <w:lang w:val="en-US"/>
    </w:rPr>
  </w:style>
  <w:style w:type="character" w:customStyle="1" w:styleId="a9">
    <w:name w:val="Текст выноски Знак"/>
    <w:basedOn w:val="a0"/>
    <w:link w:val="a8"/>
    <w:semiHidden/>
    <w:rsid w:val="0003407C"/>
    <w:rPr>
      <w:rFonts w:ascii="Tahoma" w:eastAsia="Calibri" w:hAnsi="Tahoma" w:cs="Tahoma"/>
      <w:sz w:val="16"/>
      <w:szCs w:val="16"/>
      <w:lang w:val="en-US"/>
    </w:rPr>
  </w:style>
  <w:style w:type="character" w:customStyle="1" w:styleId="FontStyle42">
    <w:name w:val="Font Style42"/>
    <w:rsid w:val="0003407C"/>
    <w:rPr>
      <w:rFonts w:ascii="Times New Roman" w:hAnsi="Times New Roman" w:cs="Times New Roman"/>
      <w:sz w:val="20"/>
      <w:szCs w:val="20"/>
    </w:rPr>
  </w:style>
  <w:style w:type="paragraph" w:customStyle="1" w:styleId="Style22">
    <w:name w:val="Style2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03407C"/>
    <w:rPr>
      <w:rFonts w:ascii="Times New Roman" w:hAnsi="Times New Roman" w:cs="Times New Roman"/>
      <w:b/>
      <w:bCs/>
      <w:i/>
      <w:iCs/>
      <w:sz w:val="20"/>
      <w:szCs w:val="20"/>
    </w:rPr>
  </w:style>
  <w:style w:type="paragraph" w:customStyle="1" w:styleId="Style7">
    <w:name w:val="Style7"/>
    <w:basedOn w:val="a"/>
    <w:rsid w:val="0003407C"/>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table" w:styleId="aa">
    <w:name w:val="Table Grid"/>
    <w:basedOn w:val="a1"/>
    <w:rsid w:val="0003407C"/>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a"/>
    <w:rsid w:val="0003407C"/>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26">
    <w:name w:val="Style26"/>
    <w:basedOn w:val="a"/>
    <w:rsid w:val="0003407C"/>
    <w:pPr>
      <w:widowControl w:val="0"/>
      <w:autoSpaceDE w:val="0"/>
      <w:autoSpaceDN w:val="0"/>
      <w:adjustRightInd w:val="0"/>
      <w:spacing w:after="0" w:line="206" w:lineRule="exact"/>
      <w:ind w:firstLine="77"/>
    </w:pPr>
    <w:rPr>
      <w:rFonts w:ascii="Times New Roman" w:eastAsia="Times New Roman" w:hAnsi="Times New Roman" w:cs="Times New Roman"/>
      <w:sz w:val="24"/>
      <w:szCs w:val="24"/>
      <w:lang w:eastAsia="ru-RU"/>
    </w:rPr>
  </w:style>
  <w:style w:type="paragraph" w:customStyle="1" w:styleId="Style27">
    <w:name w:val="Style27"/>
    <w:basedOn w:val="a"/>
    <w:rsid w:val="0003407C"/>
    <w:pPr>
      <w:widowControl w:val="0"/>
      <w:autoSpaceDE w:val="0"/>
      <w:autoSpaceDN w:val="0"/>
      <w:adjustRightInd w:val="0"/>
      <w:spacing w:after="0" w:line="207" w:lineRule="exact"/>
    </w:pPr>
    <w:rPr>
      <w:rFonts w:ascii="Times New Roman" w:eastAsia="Times New Roman" w:hAnsi="Times New Roman" w:cs="Times New Roman"/>
      <w:sz w:val="24"/>
      <w:szCs w:val="24"/>
      <w:lang w:eastAsia="ru-RU"/>
    </w:rPr>
  </w:style>
  <w:style w:type="character" w:customStyle="1" w:styleId="FontStyle39">
    <w:name w:val="Font Style39"/>
    <w:rsid w:val="0003407C"/>
    <w:rPr>
      <w:rFonts w:ascii="Times New Roman" w:hAnsi="Times New Roman" w:cs="Times New Roman"/>
      <w:sz w:val="16"/>
      <w:szCs w:val="16"/>
    </w:rPr>
  </w:style>
  <w:style w:type="paragraph" w:customStyle="1" w:styleId="Style5">
    <w:name w:val="Style5"/>
    <w:basedOn w:val="a"/>
    <w:uiPriority w:val="99"/>
    <w:rsid w:val="0003407C"/>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40">
    <w:name w:val="Font Style40"/>
    <w:rsid w:val="0003407C"/>
    <w:rPr>
      <w:rFonts w:ascii="Times New Roman" w:hAnsi="Times New Roman" w:cs="Times New Roman"/>
      <w:i/>
      <w:iCs/>
      <w:sz w:val="20"/>
      <w:szCs w:val="20"/>
    </w:rPr>
  </w:style>
  <w:style w:type="character" w:customStyle="1" w:styleId="FontStyle41">
    <w:name w:val="Font Style41"/>
    <w:rsid w:val="0003407C"/>
    <w:rPr>
      <w:rFonts w:ascii="Times New Roman" w:hAnsi="Times New Roman" w:cs="Times New Roman"/>
      <w:b/>
      <w:bCs/>
      <w:sz w:val="20"/>
      <w:szCs w:val="20"/>
    </w:rPr>
  </w:style>
  <w:style w:type="character" w:styleId="ab">
    <w:name w:val="annotation reference"/>
    <w:semiHidden/>
    <w:rsid w:val="0003407C"/>
    <w:rPr>
      <w:sz w:val="16"/>
      <w:szCs w:val="16"/>
    </w:rPr>
  </w:style>
  <w:style w:type="paragraph" w:styleId="ac">
    <w:name w:val="annotation text"/>
    <w:basedOn w:val="a"/>
    <w:link w:val="ad"/>
    <w:semiHidden/>
    <w:rsid w:val="0003407C"/>
    <w:rPr>
      <w:rFonts w:ascii="Calibri" w:eastAsia="Calibri" w:hAnsi="Calibri" w:cs="Times New Roman"/>
      <w:sz w:val="20"/>
      <w:szCs w:val="20"/>
      <w:lang w:val="en-US"/>
    </w:rPr>
  </w:style>
  <w:style w:type="character" w:customStyle="1" w:styleId="ad">
    <w:name w:val="Текст примечания Знак"/>
    <w:basedOn w:val="a0"/>
    <w:link w:val="ac"/>
    <w:semiHidden/>
    <w:rsid w:val="0003407C"/>
    <w:rPr>
      <w:rFonts w:ascii="Calibri" w:eastAsia="Calibri" w:hAnsi="Calibri" w:cs="Times New Roman"/>
      <w:sz w:val="20"/>
      <w:szCs w:val="20"/>
      <w:lang w:val="en-US"/>
    </w:rPr>
  </w:style>
  <w:style w:type="paragraph" w:styleId="ae">
    <w:name w:val="annotation subject"/>
    <w:basedOn w:val="ac"/>
    <w:next w:val="ac"/>
    <w:link w:val="af"/>
    <w:semiHidden/>
    <w:rsid w:val="0003407C"/>
    <w:rPr>
      <w:b/>
      <w:bCs/>
    </w:rPr>
  </w:style>
  <w:style w:type="character" w:customStyle="1" w:styleId="af">
    <w:name w:val="Тема примечания Знак"/>
    <w:basedOn w:val="ad"/>
    <w:link w:val="ae"/>
    <w:semiHidden/>
    <w:rsid w:val="0003407C"/>
    <w:rPr>
      <w:rFonts w:ascii="Calibri" w:eastAsia="Calibri" w:hAnsi="Calibri" w:cs="Times New Roman"/>
      <w:b/>
      <w:bCs/>
      <w:sz w:val="20"/>
      <w:szCs w:val="20"/>
      <w:lang w:val="en-US"/>
    </w:rPr>
  </w:style>
  <w:style w:type="paragraph" w:styleId="af0">
    <w:name w:val="header"/>
    <w:basedOn w:val="a"/>
    <w:link w:val="af1"/>
    <w:uiPriority w:val="99"/>
    <w:unhideWhenUsed/>
    <w:rsid w:val="0003407C"/>
    <w:pPr>
      <w:tabs>
        <w:tab w:val="center" w:pos="4677"/>
        <w:tab w:val="right" w:pos="9355"/>
      </w:tabs>
    </w:pPr>
    <w:rPr>
      <w:rFonts w:ascii="Calibri" w:eastAsia="Calibri" w:hAnsi="Calibri" w:cs="Times New Roman"/>
      <w:lang w:val="en-US"/>
    </w:rPr>
  </w:style>
  <w:style w:type="character" w:customStyle="1" w:styleId="af1">
    <w:name w:val="Верхний колонтитул Знак"/>
    <w:basedOn w:val="a0"/>
    <w:link w:val="af0"/>
    <w:uiPriority w:val="99"/>
    <w:rsid w:val="0003407C"/>
    <w:rPr>
      <w:rFonts w:ascii="Calibri" w:eastAsia="Calibri" w:hAnsi="Calibri" w:cs="Times New Roman"/>
      <w:lang w:val="en-US"/>
    </w:rPr>
  </w:style>
  <w:style w:type="paragraph" w:customStyle="1" w:styleId="Style2">
    <w:name w:val="Style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rmalWeb1">
    <w:name w:val="Normal (Web)1"/>
    <w:basedOn w:val="a"/>
    <w:rsid w:val="0003407C"/>
    <w:pPr>
      <w:suppressAutoHyphens/>
      <w:spacing w:before="280" w:after="75" w:line="240" w:lineRule="auto"/>
    </w:pPr>
    <w:rPr>
      <w:rFonts w:ascii="Times New Roman" w:eastAsia="Times New Roman" w:hAnsi="Times New Roman" w:cs="Times New Roman"/>
      <w:color w:val="000000"/>
      <w:sz w:val="24"/>
      <w:szCs w:val="24"/>
      <w:lang w:eastAsia="ar-SA"/>
    </w:rPr>
  </w:style>
  <w:style w:type="paragraph" w:styleId="31">
    <w:name w:val="Body Text 3"/>
    <w:basedOn w:val="a"/>
    <w:link w:val="32"/>
    <w:rsid w:val="0003407C"/>
    <w:pPr>
      <w:spacing w:after="0" w:line="240" w:lineRule="auto"/>
      <w:jc w:val="both"/>
    </w:pPr>
    <w:rPr>
      <w:rFonts w:ascii="Times New Roman" w:eastAsia="Times New Roman" w:hAnsi="Times New Roman" w:cs="Times New Roman"/>
      <w:bCs/>
      <w:i/>
      <w:sz w:val="28"/>
      <w:szCs w:val="24"/>
      <w:lang w:val="x-none" w:eastAsia="x-none"/>
    </w:rPr>
  </w:style>
  <w:style w:type="character" w:customStyle="1" w:styleId="32">
    <w:name w:val="Основной текст 3 Знак"/>
    <w:basedOn w:val="a0"/>
    <w:link w:val="31"/>
    <w:rsid w:val="0003407C"/>
    <w:rPr>
      <w:rFonts w:ascii="Times New Roman" w:eastAsia="Times New Roman" w:hAnsi="Times New Roman" w:cs="Times New Roman"/>
      <w:bCs/>
      <w:i/>
      <w:sz w:val="28"/>
      <w:szCs w:val="24"/>
      <w:lang w:val="x-none" w:eastAsia="x-none"/>
    </w:rPr>
  </w:style>
  <w:style w:type="paragraph" w:styleId="af2">
    <w:name w:val="Body Text"/>
    <w:basedOn w:val="a"/>
    <w:link w:val="af3"/>
    <w:uiPriority w:val="99"/>
    <w:semiHidden/>
    <w:unhideWhenUsed/>
    <w:rsid w:val="0003407C"/>
    <w:pPr>
      <w:spacing w:after="120"/>
    </w:pPr>
    <w:rPr>
      <w:rFonts w:ascii="Calibri" w:eastAsia="Calibri" w:hAnsi="Calibri" w:cs="Times New Roman"/>
      <w:lang w:val="en-US"/>
    </w:rPr>
  </w:style>
  <w:style w:type="character" w:customStyle="1" w:styleId="af3">
    <w:name w:val="Основной текст Знак"/>
    <w:basedOn w:val="a0"/>
    <w:link w:val="af2"/>
    <w:uiPriority w:val="99"/>
    <w:semiHidden/>
    <w:rsid w:val="0003407C"/>
    <w:rPr>
      <w:rFonts w:ascii="Calibri" w:eastAsia="Calibri" w:hAnsi="Calibri" w:cs="Times New Roman"/>
      <w:lang w:val="en-US"/>
    </w:rPr>
  </w:style>
  <w:style w:type="paragraph" w:styleId="af4">
    <w:name w:val="Plain Text"/>
    <w:basedOn w:val="a"/>
    <w:link w:val="af5"/>
    <w:rsid w:val="0003407C"/>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03407C"/>
    <w:rPr>
      <w:rFonts w:ascii="Courier New" w:eastAsia="Times New Roman" w:hAnsi="Courier New" w:cs="Times New Roman"/>
      <w:sz w:val="20"/>
      <w:szCs w:val="20"/>
      <w:lang w:eastAsia="ru-RU"/>
    </w:rPr>
  </w:style>
  <w:style w:type="paragraph" w:customStyle="1" w:styleId="ConsPlusNormal">
    <w:name w:val="ConsPlusNormal"/>
    <w:rsid w:val="0003407C"/>
    <w:pPr>
      <w:widowControl w:val="0"/>
      <w:spacing w:after="0" w:line="240" w:lineRule="auto"/>
      <w:ind w:firstLine="720"/>
    </w:pPr>
    <w:rPr>
      <w:rFonts w:ascii="Arial" w:eastAsia="Times New Roman" w:hAnsi="Arial" w:cs="Arial"/>
      <w:sz w:val="20"/>
      <w:szCs w:val="20"/>
      <w:lang w:eastAsia="ru-RU"/>
    </w:rPr>
  </w:style>
  <w:style w:type="paragraph" w:styleId="af6">
    <w:name w:val="Revision"/>
    <w:hidden/>
    <w:uiPriority w:val="99"/>
    <w:semiHidden/>
    <w:rsid w:val="0003407C"/>
    <w:pPr>
      <w:spacing w:after="0" w:line="240" w:lineRule="auto"/>
    </w:pPr>
    <w:rPr>
      <w:rFonts w:ascii="Calibri" w:eastAsia="Calibri" w:hAnsi="Calibri" w:cs="Times New Roman"/>
      <w:lang w:val="en-US"/>
    </w:rPr>
  </w:style>
  <w:style w:type="paragraph" w:styleId="HTML">
    <w:name w:val="HTML Preformatted"/>
    <w:basedOn w:val="a"/>
    <w:link w:val="HTML0"/>
    <w:uiPriority w:val="99"/>
    <w:semiHidden/>
    <w:unhideWhenUsed/>
    <w:rsid w:val="0003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03407C"/>
    <w:rPr>
      <w:rFonts w:ascii="Courier New" w:eastAsia="Times New Roman" w:hAnsi="Courier New" w:cs="Times New Roman"/>
      <w:sz w:val="20"/>
      <w:szCs w:val="20"/>
      <w:lang w:val="x-none" w:eastAsia="x-none"/>
    </w:rPr>
  </w:style>
  <w:style w:type="paragraph" w:styleId="af7">
    <w:name w:val="List Paragraph"/>
    <w:basedOn w:val="a"/>
    <w:uiPriority w:val="34"/>
    <w:qFormat/>
    <w:rsid w:val="007471D2"/>
    <w:pPr>
      <w:ind w:left="720"/>
      <w:contextualSpacing/>
    </w:pPr>
  </w:style>
  <w:style w:type="paragraph" w:styleId="af8">
    <w:name w:val="Normal (Web)"/>
    <w:basedOn w:val="a"/>
    <w:uiPriority w:val="99"/>
    <w:unhideWhenUsed/>
    <w:rsid w:val="00B47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Unresolved Mention"/>
    <w:basedOn w:val="a0"/>
    <w:uiPriority w:val="99"/>
    <w:semiHidden/>
    <w:unhideWhenUsed/>
    <w:rsid w:val="00741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ettings" Target="settings.xml"/><Relationship Id="rId7" Type="http://schemas.openxmlformats.org/officeDocument/2006/relationships/hyperlink" Target="mailto:office.secretary@rogersgroup.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ecretary@rogersgroup.in" TargetMode="External"/><Relationship Id="rId5" Type="http://schemas.openxmlformats.org/officeDocument/2006/relationships/hyperlink" Target="http://www.ndda.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TotalTime>
  <Pages>26</Pages>
  <Words>10908</Words>
  <Characters>62178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Praveen Kanumuru</cp:lastModifiedBy>
  <cp:revision>140</cp:revision>
  <dcterms:created xsi:type="dcterms:W3CDTF">2020-03-08T03:48:00Z</dcterms:created>
  <dcterms:modified xsi:type="dcterms:W3CDTF">2025-06-17T07:58:00Z</dcterms:modified>
</cp:coreProperties>
</file>